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79D49">
      <w:pPr>
        <w:spacing w:line="360" w:lineRule="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高精密表面三维光学检测仪</w:t>
      </w:r>
    </w:p>
    <w:p w14:paraId="1CBA28BE">
      <w:pPr>
        <w:spacing w:line="360" w:lineRule="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主要技术参数</w:t>
      </w:r>
    </w:p>
    <w:p w14:paraId="7B270FE4">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（一）</w:t>
      </w:r>
      <w:r>
        <w:rPr>
          <w:rFonts w:hint="eastAsia" w:ascii="宋体" w:hAnsi="宋体" w:eastAsia="宋体" w:cs="宋体"/>
          <w:b/>
          <w:bCs/>
          <w:color w:val="auto"/>
          <w:sz w:val="24"/>
          <w:szCs w:val="24"/>
          <w:highlight w:val="none"/>
        </w:rPr>
        <w:t>技术参数</w:t>
      </w:r>
    </w:p>
    <w:p w14:paraId="47F41F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采用白光干涉测试原理，包含三种工作模式：垂直扫描干涉测量模式（VSI）；相移干涉测量模式（PSI）；结合VSI和PSI的自适应通用测量模式（USI）。设备需要具备增强数据获取（enhanced data capture）功能，可灵活调整相机数据采集帧率，数据运算阈值以及数据平均次数，在表面反光性差的样品测试中可有效提高有效数据点，提高测量准确性，可自动调整采集帧率(70％-100％）。</w:t>
      </w:r>
      <w:r>
        <w:rPr>
          <w:rFonts w:hint="eastAsia" w:ascii="宋体" w:hAnsi="宋体" w:eastAsia="宋体" w:cs="宋体"/>
          <w:b/>
          <w:bCs/>
          <w:color w:val="auto"/>
          <w:sz w:val="24"/>
          <w:szCs w:val="24"/>
          <w:highlight w:val="none"/>
        </w:rPr>
        <w:t>需要提供软件界面截图，同时显示增强数据获取（enhanced data capture）功能这一选项。并且可勾选，同时提供勾选该功能前后的实测数据对比。</w:t>
      </w:r>
    </w:p>
    <w:p w14:paraId="11B766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内置两个独立的≥</w:t>
      </w:r>
      <w:r>
        <w:rPr>
          <w:rFonts w:hint="eastAsia" w:ascii="宋体" w:hAnsi="宋体" w:eastAsia="宋体" w:cs="宋体"/>
          <w:color w:val="auto"/>
          <w:sz w:val="24"/>
          <w:szCs w:val="24"/>
          <w:highlight w:val="none"/>
          <w:lang w:val="en-US" w:eastAsia="zh-CN"/>
        </w:rPr>
        <w:t>20000小时工作时间的</w:t>
      </w:r>
      <w:r>
        <w:rPr>
          <w:rFonts w:hint="eastAsia" w:ascii="宋体" w:hAnsi="宋体" w:eastAsia="宋体" w:cs="宋体"/>
          <w:color w:val="auto"/>
          <w:sz w:val="24"/>
          <w:szCs w:val="24"/>
          <w:highlight w:val="none"/>
        </w:rPr>
        <w:t>LED光源，根据不同工作模式的可以单独或同时激发；</w:t>
      </w:r>
      <w:r>
        <w:rPr>
          <w:rFonts w:hint="eastAsia" w:ascii="宋体" w:hAnsi="宋体" w:eastAsia="宋体" w:cs="宋体"/>
          <w:b/>
          <w:bCs/>
          <w:color w:val="auto"/>
          <w:sz w:val="24"/>
          <w:szCs w:val="24"/>
          <w:highlight w:val="none"/>
        </w:rPr>
        <w:t>需要提供绿色和白色光源的硬件照片、软件选择光源的截图。</w:t>
      </w:r>
    </w:p>
    <w:p w14:paraId="1910ED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垂直分辨率：≤0.01nm Ra；RMS重现性：≤0.01nm</w:t>
      </w:r>
    </w:p>
    <w:p w14:paraId="5C4BDA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饱和光强测量功能：≥30%的视场范围光强过饱和情况下，仍然能够准确获取样品的表面形貌数据，针对样品表面存在反射率差异较大的不同材料组分能够单次同时测量。</w:t>
      </w:r>
    </w:p>
    <w:p w14:paraId="4C792D5D">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color w:val="auto"/>
          <w:sz w:val="24"/>
          <w:szCs w:val="24"/>
          <w:highlight w:val="none"/>
        </w:rPr>
        <w:t>垂直方向单次测量量程：≥10mm，全量程闭环控制可以一次拼接而非压电陶瓷与多次拼接方式。</w:t>
      </w:r>
    </w:p>
    <w:p w14:paraId="1D24548E">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一次可通过拼接，样品测量区域≥20mm×20mm</w:t>
      </w:r>
      <w:r>
        <w:rPr>
          <w:rFonts w:hint="eastAsia" w:ascii="宋体" w:hAnsi="宋体" w:eastAsia="宋体" w:cs="宋体"/>
          <w:color w:val="auto"/>
          <w:sz w:val="24"/>
          <w:szCs w:val="24"/>
          <w:highlight w:val="none"/>
          <w:lang w:eastAsia="zh-CN"/>
        </w:rPr>
        <w:t>。</w:t>
      </w:r>
    </w:p>
    <w:p w14:paraId="1A586E9C">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垂直扫描速度：≥35μm/s</w:t>
      </w:r>
      <w:r>
        <w:rPr>
          <w:rFonts w:hint="eastAsia" w:ascii="宋体" w:hAnsi="宋体" w:eastAsia="宋体" w:cs="宋体"/>
          <w:color w:val="auto"/>
          <w:sz w:val="24"/>
          <w:szCs w:val="24"/>
          <w:highlight w:val="none"/>
          <w:lang w:eastAsia="zh-CN"/>
        </w:rPr>
        <w:t>。</w:t>
      </w:r>
    </w:p>
    <w:p w14:paraId="44BBD0B5">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台阶测试精度：≤0.75%（8µm以上的台阶高度测试准确性）</w:t>
      </w:r>
      <w:r>
        <w:rPr>
          <w:rFonts w:hint="eastAsia" w:ascii="宋体" w:hAnsi="宋体" w:eastAsia="宋体" w:cs="宋体"/>
          <w:color w:val="auto"/>
          <w:sz w:val="24"/>
          <w:szCs w:val="24"/>
          <w:highlight w:val="none"/>
          <w:lang w:eastAsia="zh-CN"/>
        </w:rPr>
        <w:t>。</w:t>
      </w:r>
    </w:p>
    <w:p w14:paraId="1896D53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具备深孔和深槽测量能力，可测量10:1高深比的孔（开口孔径≤10um）和30:1高深比的槽，</w:t>
      </w:r>
      <w:r>
        <w:rPr>
          <w:rFonts w:hint="eastAsia" w:ascii="宋体" w:hAnsi="宋体" w:eastAsia="宋体" w:cs="宋体"/>
          <w:b/>
          <w:bCs/>
          <w:color w:val="auto"/>
          <w:sz w:val="24"/>
          <w:szCs w:val="24"/>
          <w:highlight w:val="none"/>
        </w:rPr>
        <w:t>提供软件界面截图，软件界面需同时显示多孔结构的三维轮廓图、多孔结构的剖面二维图、实测数据作为证明资料。</w:t>
      </w:r>
    </w:p>
    <w:p w14:paraId="52D830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具备Photo spacer共面性高通量测试能力，</w:t>
      </w:r>
      <w:r>
        <w:rPr>
          <w:rFonts w:hint="eastAsia" w:ascii="宋体" w:hAnsi="宋体" w:eastAsia="宋体" w:cs="宋体"/>
          <w:b/>
          <w:bCs/>
          <w:color w:val="auto"/>
          <w:sz w:val="24"/>
          <w:szCs w:val="24"/>
          <w:highlight w:val="none"/>
        </w:rPr>
        <w:t>提供软件界面截图，需同时显示三维轮廓图、剖面二维图、实测数据作为证明资料。</w:t>
      </w:r>
    </w:p>
    <w:p w14:paraId="30F8AAA9">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★11</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color w:val="auto"/>
          <w:sz w:val="24"/>
          <w:szCs w:val="24"/>
          <w:highlight w:val="none"/>
        </w:rPr>
        <w:t>倾斜调制范围：≥±5°</w:t>
      </w:r>
      <w:r>
        <w:rPr>
          <w:rFonts w:hint="eastAsia" w:ascii="宋体" w:hAnsi="宋体" w:eastAsia="宋体" w:cs="宋体"/>
          <w:color w:val="auto"/>
          <w:sz w:val="24"/>
          <w:szCs w:val="24"/>
          <w:highlight w:val="none"/>
          <w:lang w:eastAsia="zh-CN"/>
        </w:rPr>
        <w:t>。</w:t>
      </w:r>
    </w:p>
    <w:p w14:paraId="321687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配备自动样品台：XY移动范围≥150mm×150mm；带自动缝合拼接功能；永久授权的软件标配PSI\VSI模块、自动多点测量以及缝合软件模块，并可针对环形样品进行有效区域拼接；</w:t>
      </w:r>
      <w:r>
        <w:rPr>
          <w:rFonts w:hint="eastAsia" w:ascii="宋体" w:hAnsi="宋体" w:eastAsia="宋体" w:cs="宋体"/>
          <w:b/>
          <w:bCs/>
          <w:color w:val="auto"/>
          <w:sz w:val="24"/>
          <w:szCs w:val="24"/>
          <w:highlight w:val="none"/>
        </w:rPr>
        <w:t>提供实际拼接过程状态的实时软件界面截图，并显示预计完成时间、已完成时间、已完成拼图数量/总拼图数量等信息，作为证明资料。</w:t>
      </w:r>
    </w:p>
    <w:p w14:paraId="675122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CCD：像素≥500万，阵列≥1200 x 1000；具备自动寻找表面功能：一键自动寻找聚焦样品表面，10秒内得到干涉条纹；粗糙度测试RMS重复性：≤0.03nm（PSI模式下）。具备半球形结构轮廓测试能力，体积精度需达0.01um3，</w:t>
      </w:r>
      <w:r>
        <w:rPr>
          <w:rFonts w:hint="eastAsia" w:ascii="宋体" w:hAnsi="宋体" w:eastAsia="宋体" w:cs="宋体"/>
          <w:b/>
          <w:bCs/>
          <w:color w:val="auto"/>
          <w:sz w:val="24"/>
          <w:szCs w:val="24"/>
          <w:highlight w:val="none"/>
        </w:rPr>
        <w:t>需提供软件界面截图，同时显示微凸半球形结构三维轮廓图、剖面二维图、高度、直径数据、微凸半球形结构体积数据作为证明资料。</w:t>
      </w:r>
    </w:p>
    <w:p w14:paraId="2AABFF1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配套图像数据分析软件需可分析学院已安装的原子力显微镜机台原始数据，以确保微纳米结构表面粗糙度、线高、线宽、体积等三维数据的一致性。</w:t>
      </w:r>
      <w:r>
        <w:rPr>
          <w:rFonts w:hint="eastAsia" w:ascii="宋体" w:hAnsi="宋体" w:eastAsia="宋体" w:cs="宋体"/>
          <w:b/>
          <w:bCs/>
          <w:color w:val="auto"/>
          <w:sz w:val="24"/>
          <w:szCs w:val="24"/>
          <w:highlight w:val="none"/>
        </w:rPr>
        <w:t>需提供软件界面截图，同时显示表面粗糙度、线高、线宽、体积等三维数据作为证明资料。</w:t>
      </w:r>
    </w:p>
    <w:p w14:paraId="130BA8A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配备多工位物镜转台1个，物镜安装孔位≥5；50倍干涉物镜（工作距离≥3.4 mm工作距离）、10倍干涉物镜（≥7.4 mm工作距离）各1个。</w:t>
      </w:r>
    </w:p>
    <w:p w14:paraId="3F23886A">
      <w:pPr>
        <w:spacing w:line="360" w:lineRule="auto"/>
        <w:rPr>
          <w:rFonts w:hint="eastAsia" w:ascii="宋体" w:hAnsi="宋体" w:eastAsia="宋体" w:cs="宋体"/>
          <w:b/>
          <w:bCs/>
          <w:color w:val="auto"/>
          <w:sz w:val="24"/>
          <w:szCs w:val="24"/>
          <w:highlight w:val="none"/>
        </w:rPr>
      </w:pPr>
    </w:p>
    <w:p w14:paraId="58784B75">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（二）</w:t>
      </w:r>
      <w:r>
        <w:rPr>
          <w:rFonts w:hint="eastAsia" w:ascii="宋体" w:hAnsi="宋体" w:eastAsia="宋体" w:cs="宋体"/>
          <w:b/>
          <w:bCs/>
          <w:color w:val="auto"/>
          <w:sz w:val="24"/>
          <w:szCs w:val="24"/>
          <w:highlight w:val="none"/>
        </w:rPr>
        <w:t>仪器配置</w:t>
      </w:r>
    </w:p>
    <w:p w14:paraId="6253B38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 xml:space="preserve">主机                    </w:t>
      </w:r>
      <w:r>
        <w:rPr>
          <w:rFonts w:hint="eastAsia" w:ascii="宋体" w:hAnsi="宋体" w:eastAsia="宋体" w:cs="宋体"/>
          <w:color w:val="auto"/>
          <w:sz w:val="24"/>
          <w:szCs w:val="24"/>
          <w:highlight w:val="none"/>
          <w:lang w:val="en-US" w:eastAsia="zh-CN"/>
        </w:rPr>
        <w:t xml:space="preserve"> </w:t>
      </w:r>
      <w:bookmarkStart w:id="0" w:name="_GoBack"/>
      <w:bookmarkEnd w:id="0"/>
      <w:r>
        <w:rPr>
          <w:rFonts w:hint="eastAsia" w:ascii="宋体" w:hAnsi="宋体" w:eastAsia="宋体" w:cs="宋体"/>
          <w:color w:val="auto"/>
          <w:sz w:val="24"/>
          <w:szCs w:val="24"/>
          <w:highlight w:val="none"/>
        </w:rPr>
        <w:t xml:space="preserve"> 1套</w:t>
      </w:r>
    </w:p>
    <w:p w14:paraId="6EEDDC7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落地气浮防震台            1套</w:t>
      </w:r>
    </w:p>
    <w:p w14:paraId="028039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5位多工位物镜转台        1个</w:t>
      </w:r>
    </w:p>
    <w:p w14:paraId="3D990B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50倍干涉物镜             1个</w:t>
      </w:r>
    </w:p>
    <w:p w14:paraId="3EC3E5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10倍干涉物镜             1个</w:t>
      </w:r>
    </w:p>
    <w:p w14:paraId="65F9B24A">
      <w:pPr>
        <w:spacing w:line="360" w:lineRule="auto"/>
        <w:rPr>
          <w:rFonts w:hint="eastAsia" w:ascii="宋体" w:hAnsi="宋体" w:eastAsia="宋体" w:cs="宋体"/>
          <w:color w:val="auto"/>
          <w:sz w:val="24"/>
          <w:szCs w:val="24"/>
          <w:highlight w:val="none"/>
        </w:rPr>
      </w:pPr>
    </w:p>
    <w:p w14:paraId="2E953434">
      <w:pPr>
        <w:spacing w:line="360" w:lineRule="auto"/>
        <w:rPr>
          <w:rFonts w:hint="eastAsia" w:ascii="宋体" w:hAnsi="宋体" w:eastAsia="宋体" w:cs="宋体"/>
          <w:color w:val="auto"/>
          <w:sz w:val="24"/>
          <w:szCs w:val="24"/>
          <w:highlight w:val="none"/>
        </w:rPr>
      </w:pPr>
    </w:p>
    <w:p w14:paraId="1D1A979D">
      <w:pPr>
        <w:spacing w:line="360" w:lineRule="auto"/>
        <w:rPr>
          <w:rFonts w:hint="eastAsia" w:ascii="宋体" w:hAnsi="宋体" w:eastAsia="宋体" w:cs="宋体"/>
          <w:color w:val="auto"/>
          <w:sz w:val="24"/>
          <w:szCs w:val="24"/>
          <w:highlight w:val="none"/>
          <w:lang w:eastAsia="zh-CN"/>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AF4E14"/>
    <w:rsid w:val="00292C66"/>
    <w:rsid w:val="004E62AC"/>
    <w:rsid w:val="00A82403"/>
    <w:rsid w:val="07797A7C"/>
    <w:rsid w:val="094E60B5"/>
    <w:rsid w:val="0C35402D"/>
    <w:rsid w:val="0FCD3553"/>
    <w:rsid w:val="13023513"/>
    <w:rsid w:val="17374AF4"/>
    <w:rsid w:val="1A932AD1"/>
    <w:rsid w:val="1FBF453A"/>
    <w:rsid w:val="28C54A49"/>
    <w:rsid w:val="29E7300B"/>
    <w:rsid w:val="2A293624"/>
    <w:rsid w:val="2DBD655D"/>
    <w:rsid w:val="39F27F9B"/>
    <w:rsid w:val="3A3262F9"/>
    <w:rsid w:val="3EB90628"/>
    <w:rsid w:val="478C7274"/>
    <w:rsid w:val="4ACA1E61"/>
    <w:rsid w:val="4EA74993"/>
    <w:rsid w:val="4EA824BA"/>
    <w:rsid w:val="593212FE"/>
    <w:rsid w:val="5A7D15B6"/>
    <w:rsid w:val="5D047419"/>
    <w:rsid w:val="5EEE3F19"/>
    <w:rsid w:val="6A7F011B"/>
    <w:rsid w:val="6C926EBB"/>
    <w:rsid w:val="6FAF4E14"/>
    <w:rsid w:val="71E76CD1"/>
    <w:rsid w:val="72C16C21"/>
    <w:rsid w:val="73994256"/>
    <w:rsid w:val="7AE25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1282</Words>
  <Characters>1479</Characters>
  <Lines>26</Lines>
  <Paragraphs>25</Paragraphs>
  <TotalTime>0</TotalTime>
  <ScaleCrop>false</ScaleCrop>
  <LinksUpToDate>false</LinksUpToDate>
  <CharactersWithSpaces>1562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2025-10-31T02:41:00Z</dcterms:created>
  <dc:creator>py1995</dc:creator>
  <cp:lastModifiedBy>肖</cp:lastModifiedBy>
  <dcterms:modified xsi:type="dcterms:W3CDTF">2025-11-24T02:05:39Z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7CB78BC97FE24E3EB818E8E67CA7D5BD_11</vt:lpwstr>
  </property>
  <property fmtid="{D5CDD505-2E9C-101B-9397-08002B2CF9AE}" pid="4" name="KSOTemplateDocerSaveRecord">
    <vt:lpwstr>eyJoZGlkIjoiZGMxM2UzNDlhYzczZTY3YWM3ODBjYTI3ZDcyZTdmMDkiLCJ1c2VySWQiOiI1NDUyOTMyMDgifQ==</vt:lpwstr>
  </property>
</Properties>
</file>