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1000" w:lineRule="exact"/>
        <w:jc w:val="left"/>
        <w:rPr>
          <w:b/>
          <w:color w:val="auto"/>
          <w:sz w:val="24"/>
          <w:szCs w:val="24"/>
        </w:rPr>
      </w:pPr>
      <w:r>
        <w:rPr>
          <w:rFonts w:hint="eastAsia"/>
          <w:b/>
          <w:color w:val="auto"/>
          <w:sz w:val="24"/>
          <w:szCs w:val="24"/>
        </w:rPr>
        <w:t>附件：</w:t>
      </w:r>
    </w:p>
    <w:p>
      <w:pPr>
        <w:pStyle w:val="3"/>
        <w:spacing w:line="1000" w:lineRule="exact"/>
        <w:jc w:val="left"/>
        <w:rPr>
          <w:b/>
          <w:color w:val="auto"/>
          <w:sz w:val="24"/>
          <w:szCs w:val="24"/>
        </w:rPr>
      </w:pPr>
    </w:p>
    <w:p>
      <w:pPr>
        <w:pStyle w:val="3"/>
        <w:spacing w:line="1000" w:lineRule="exact"/>
        <w:jc w:val="center"/>
        <w:rPr>
          <w:b/>
          <w:color w:val="auto"/>
          <w:sz w:val="72"/>
          <w:szCs w:val="72"/>
        </w:rPr>
      </w:pPr>
      <w:r>
        <w:rPr>
          <w:rFonts w:hint="eastAsia"/>
          <w:b/>
          <w:color w:val="auto"/>
          <w:sz w:val="72"/>
          <w:szCs w:val="72"/>
        </w:rPr>
        <w:t>福建理工大学保卫部</w:t>
      </w:r>
    </w:p>
    <w:p>
      <w:pPr>
        <w:pStyle w:val="3"/>
        <w:spacing w:line="1000" w:lineRule="exact"/>
        <w:jc w:val="center"/>
        <w:rPr>
          <w:b/>
          <w:color w:val="auto"/>
          <w:sz w:val="72"/>
          <w:szCs w:val="72"/>
        </w:rPr>
      </w:pPr>
      <w:r>
        <w:rPr>
          <w:rFonts w:hint="eastAsia"/>
          <w:b/>
          <w:color w:val="auto"/>
          <w:sz w:val="72"/>
          <w:szCs w:val="72"/>
        </w:rPr>
        <w:t>校内磋商文件</w:t>
      </w:r>
    </w:p>
    <w:p>
      <w:pPr>
        <w:pStyle w:val="3"/>
        <w:ind w:left="0" w:leftChars="0"/>
        <w:rPr>
          <w:rFonts w:ascii="隶书" w:eastAsia="隶书"/>
          <w:color w:val="auto"/>
        </w:rPr>
      </w:pPr>
    </w:p>
    <w:p>
      <w:pPr>
        <w:pStyle w:val="3"/>
        <w:ind w:left="0" w:leftChars="0"/>
        <w:rPr>
          <w:rFonts w:ascii="隶书" w:eastAsia="隶书"/>
          <w:color w:val="auto"/>
        </w:rPr>
      </w:pPr>
    </w:p>
    <w:p>
      <w:pPr>
        <w:pStyle w:val="7"/>
        <w:spacing w:line="700" w:lineRule="exact"/>
        <w:ind w:firstLine="1619" w:firstLineChars="448"/>
        <w:rPr>
          <w:rFonts w:hAnsi="宋体"/>
          <w:b/>
          <w:bCs/>
          <w:color w:val="auto"/>
          <w:sz w:val="36"/>
          <w:szCs w:val="36"/>
          <w:u w:val="single"/>
        </w:rPr>
      </w:pPr>
      <w:r>
        <w:rPr>
          <w:rFonts w:hint="eastAsia" w:hAnsi="宋体"/>
          <w:b/>
          <w:bCs/>
          <w:color w:val="auto"/>
          <w:sz w:val="36"/>
          <w:szCs w:val="36"/>
        </w:rPr>
        <w:t>项目编号：</w:t>
      </w:r>
      <w:r>
        <w:rPr>
          <w:rFonts w:hint="eastAsia" w:hAnsi="宋体"/>
          <w:b/>
          <w:bCs/>
          <w:color w:val="auto"/>
          <w:sz w:val="36"/>
          <w:szCs w:val="36"/>
          <w:u w:val="single"/>
        </w:rPr>
        <w:t>ZX2023036</w:t>
      </w:r>
    </w:p>
    <w:p>
      <w:pPr>
        <w:spacing w:line="700" w:lineRule="exact"/>
        <w:ind w:left="3398" w:leftChars="766" w:hanging="1789" w:hangingChars="495"/>
        <w:rPr>
          <w:rFonts w:ascii="宋体" w:hAnsi="宋体"/>
          <w:b/>
          <w:bCs/>
          <w:color w:val="auto"/>
          <w:sz w:val="36"/>
          <w:szCs w:val="36"/>
        </w:rPr>
      </w:pPr>
      <w:r>
        <w:rPr>
          <w:rFonts w:hint="eastAsia" w:ascii="宋体" w:hAnsi="宋体"/>
          <w:b/>
          <w:bCs/>
          <w:color w:val="auto"/>
          <w:sz w:val="36"/>
          <w:szCs w:val="36"/>
        </w:rPr>
        <w:t>项目名称：</w:t>
      </w:r>
      <w:r>
        <w:rPr>
          <w:rFonts w:hint="eastAsia" w:ascii="仿宋" w:hAnsi="仿宋" w:eastAsia="仿宋" w:cs="宋体"/>
          <w:b/>
          <w:color w:val="auto"/>
          <w:sz w:val="36"/>
          <w:szCs w:val="36"/>
        </w:rPr>
        <w:t>福建理工大学2023年信息化建设与管理中心机房气体灭火装置更换及安装项目</w:t>
      </w:r>
    </w:p>
    <w:p>
      <w:pPr>
        <w:spacing w:line="700" w:lineRule="exact"/>
        <w:ind w:left="3398" w:leftChars="1618"/>
        <w:rPr>
          <w:rFonts w:ascii="宋体" w:hAnsi="宋体"/>
          <w:b/>
          <w:bCs/>
          <w:color w:val="auto"/>
          <w:sz w:val="36"/>
          <w:szCs w:val="36"/>
        </w:rPr>
      </w:pPr>
      <w:r>
        <w:rPr>
          <w:rFonts w:hint="eastAsia" w:ascii="宋体" w:hAnsi="宋体"/>
          <w:b/>
          <w:bCs/>
          <w:color w:val="auto"/>
          <w:sz w:val="36"/>
          <w:szCs w:val="36"/>
        </w:rPr>
        <w:t xml:space="preserve">                       </w:t>
      </w:r>
    </w:p>
    <w:p>
      <w:pPr>
        <w:pStyle w:val="7"/>
        <w:spacing w:line="600" w:lineRule="exact"/>
        <w:ind w:firstLine="1608" w:firstLineChars="445"/>
        <w:rPr>
          <w:rFonts w:hAnsi="宋体"/>
          <w:b/>
          <w:color w:val="auto"/>
          <w:sz w:val="36"/>
          <w:szCs w:val="36"/>
          <w:u w:val="single"/>
        </w:rPr>
      </w:pPr>
      <w:bookmarkStart w:id="0" w:name="_Toc308986446"/>
      <w:r>
        <w:rPr>
          <w:rFonts w:hint="eastAsia" w:hAnsi="宋体"/>
          <w:b/>
          <w:color w:val="auto"/>
          <w:sz w:val="36"/>
          <w:szCs w:val="36"/>
        </w:rPr>
        <w:t>采 购 人：</w:t>
      </w:r>
      <w:bookmarkEnd w:id="0"/>
      <w:r>
        <w:rPr>
          <w:rFonts w:hint="eastAsia" w:hAnsi="宋体"/>
          <w:b/>
          <w:color w:val="auto"/>
          <w:sz w:val="36"/>
          <w:szCs w:val="36"/>
          <w:u w:val="single"/>
        </w:rPr>
        <w:t xml:space="preserve"> 福建理工大学保卫部 </w:t>
      </w:r>
    </w:p>
    <w:p>
      <w:pPr>
        <w:pStyle w:val="7"/>
        <w:spacing w:line="0" w:lineRule="atLeast"/>
        <w:rPr>
          <w:rFonts w:hAnsi="宋体"/>
          <w:b/>
          <w:color w:val="auto"/>
          <w:sz w:val="36"/>
          <w:szCs w:val="36"/>
          <w:u w:val="single"/>
        </w:rPr>
      </w:pPr>
    </w:p>
    <w:p>
      <w:pPr>
        <w:pStyle w:val="5"/>
        <w:spacing w:line="700" w:lineRule="exact"/>
        <w:ind w:firstLine="0"/>
        <w:jc w:val="center"/>
        <w:rPr>
          <w:rFonts w:ascii="宋体" w:hAnsi="宋体"/>
          <w:b/>
          <w:color w:val="auto"/>
          <w:sz w:val="36"/>
          <w:szCs w:val="36"/>
        </w:rPr>
      </w:pPr>
      <w:r>
        <w:rPr>
          <w:rFonts w:hint="eastAsia" w:ascii="宋体" w:hAnsi="宋体"/>
          <w:b/>
          <w:color w:val="auto"/>
          <w:sz w:val="36"/>
          <w:szCs w:val="36"/>
        </w:rPr>
        <w:t>二〇二三年七月二十三日</w:t>
      </w:r>
    </w:p>
    <w:p>
      <w:pPr>
        <w:spacing w:line="500" w:lineRule="exact"/>
        <w:rPr>
          <w:rFonts w:ascii="宋体" w:hAnsi="宋体"/>
          <w:b/>
          <w:color w:val="auto"/>
          <w:sz w:val="48"/>
          <w:u w:val="single"/>
        </w:rPr>
      </w:pPr>
      <w:r>
        <w:rPr>
          <w:rFonts w:hint="eastAsia" w:ascii="宋体" w:hAnsi="宋体"/>
          <w:b/>
          <w:color w:val="auto"/>
          <w:sz w:val="28"/>
        </w:rPr>
        <w:t xml:space="preserve"> </w:t>
      </w:r>
      <w:r>
        <w:rPr>
          <w:rFonts w:hint="eastAsia" w:ascii="宋体" w:hAnsi="宋体"/>
          <w:b/>
          <w:color w:val="auto"/>
          <w:sz w:val="48"/>
          <w:u w:val="single"/>
        </w:rPr>
        <w:t xml:space="preserve">                                       </w:t>
      </w:r>
    </w:p>
    <w:p>
      <w:pPr>
        <w:snapToGrid w:val="0"/>
        <w:spacing w:line="500" w:lineRule="atLeast"/>
        <w:ind w:firstLine="562" w:firstLineChars="200"/>
        <w:rPr>
          <w:rFonts w:ascii="宋体" w:hAnsi="宋体"/>
          <w:b/>
          <w:bCs/>
          <w:color w:val="auto"/>
          <w:sz w:val="28"/>
        </w:rPr>
      </w:pPr>
      <w:r>
        <w:rPr>
          <w:rFonts w:hint="eastAsia" w:ascii="宋体" w:hAnsi="宋体"/>
          <w:b/>
          <w:color w:val="auto"/>
          <w:sz w:val="28"/>
        </w:rPr>
        <w:t xml:space="preserve">地    址：福建省福州市大学新区学府南路69号          </w:t>
      </w:r>
    </w:p>
    <w:p>
      <w:pPr>
        <w:snapToGrid w:val="0"/>
        <w:spacing w:line="500" w:lineRule="atLeast"/>
        <w:ind w:firstLine="562" w:firstLineChars="200"/>
        <w:rPr>
          <w:rFonts w:ascii="宋体" w:hAnsi="宋体"/>
          <w:b/>
          <w:color w:val="auto"/>
          <w:sz w:val="28"/>
        </w:rPr>
      </w:pPr>
      <w:r>
        <w:rPr>
          <w:rFonts w:hint="eastAsia" w:ascii="宋体" w:hAnsi="宋体"/>
          <w:b/>
          <w:color w:val="auto"/>
          <w:sz w:val="28"/>
        </w:rPr>
        <w:t>电    话：0591－22863119，13685011616</w:t>
      </w:r>
    </w:p>
    <w:p>
      <w:pPr>
        <w:snapToGrid w:val="0"/>
        <w:spacing w:line="500" w:lineRule="atLeast"/>
        <w:ind w:firstLine="562" w:firstLineChars="200"/>
        <w:rPr>
          <w:rFonts w:ascii="宋体" w:hAnsi="宋体"/>
          <w:b/>
          <w:color w:val="auto"/>
          <w:sz w:val="28"/>
        </w:rPr>
      </w:pPr>
      <w:r>
        <w:rPr>
          <w:rFonts w:hint="eastAsia" w:ascii="宋体" w:hAnsi="宋体"/>
          <w:b/>
          <w:color w:val="auto"/>
          <w:sz w:val="28"/>
        </w:rPr>
        <w:t>邮  　编：350118</w:t>
      </w:r>
    </w:p>
    <w:p>
      <w:pPr>
        <w:snapToGrid w:val="0"/>
        <w:spacing w:line="500" w:lineRule="atLeast"/>
        <w:ind w:firstLine="562" w:firstLineChars="200"/>
        <w:rPr>
          <w:rFonts w:ascii="宋体" w:hAnsi="宋体"/>
          <w:b/>
          <w:color w:val="auto"/>
          <w:sz w:val="28"/>
        </w:rPr>
      </w:pPr>
      <w:r>
        <w:rPr>
          <w:rFonts w:hint="eastAsia" w:ascii="宋体" w:hAnsi="宋体"/>
          <w:b/>
          <w:color w:val="auto"/>
          <w:sz w:val="28"/>
        </w:rPr>
        <w:t>联 系 人：刘老师</w:t>
      </w:r>
    </w:p>
    <w:p>
      <w:pPr>
        <w:pStyle w:val="21"/>
        <w:spacing w:line="600" w:lineRule="exact"/>
        <w:ind w:left="180"/>
        <w:jc w:val="center"/>
        <w:outlineLvl w:val="0"/>
        <w:rPr>
          <w:rFonts w:hAnsi="宋体" w:cs="宋体"/>
          <w:b/>
          <w:color w:val="auto"/>
          <w:kern w:val="2"/>
          <w:sz w:val="32"/>
          <w:szCs w:val="32"/>
        </w:rPr>
      </w:pPr>
      <w:r>
        <w:rPr>
          <w:rFonts w:hAnsi="宋体"/>
          <w:b/>
          <w:bCs/>
          <w:color w:val="auto"/>
          <w:sz w:val="44"/>
        </w:rPr>
        <w:br w:type="page"/>
      </w:r>
      <w:r>
        <w:rPr>
          <w:rFonts w:hint="eastAsia" w:hAnsi="宋体" w:cs="宋体"/>
          <w:b/>
          <w:color w:val="auto"/>
          <w:kern w:val="2"/>
          <w:sz w:val="32"/>
          <w:szCs w:val="32"/>
        </w:rPr>
        <w:t>有关内容及要求</w:t>
      </w:r>
    </w:p>
    <w:p>
      <w:pPr>
        <w:pStyle w:val="22"/>
        <w:snapToGrid w:val="0"/>
        <w:spacing w:line="360" w:lineRule="auto"/>
        <w:ind w:firstLine="482"/>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一、项目概况</w:t>
      </w:r>
    </w:p>
    <w:p>
      <w:pPr>
        <w:pStyle w:val="22"/>
        <w:snapToGrid w:val="0"/>
        <w:spacing w:line="360" w:lineRule="auto"/>
        <w:ind w:firstLine="480"/>
        <w:rPr>
          <w:rFonts w:ascii="仿宋" w:hAnsi="仿宋" w:eastAsia="仿宋" w:cs="宋体"/>
          <w:bCs/>
          <w:color w:val="auto"/>
          <w:kern w:val="0"/>
          <w:sz w:val="24"/>
          <w:szCs w:val="24"/>
        </w:rPr>
      </w:pPr>
      <w:r>
        <w:rPr>
          <w:rFonts w:hint="eastAsia" w:ascii="仿宋" w:hAnsi="仿宋" w:eastAsia="仿宋" w:cs="宋体"/>
          <w:bCs/>
          <w:color w:val="auto"/>
          <w:kern w:val="0"/>
          <w:sz w:val="24"/>
          <w:szCs w:val="24"/>
        </w:rPr>
        <w:t>1.采购货物一览表</w:t>
      </w:r>
    </w:p>
    <w:p>
      <w:pPr>
        <w:pStyle w:val="22"/>
        <w:snapToGrid w:val="0"/>
        <w:spacing w:line="360" w:lineRule="auto"/>
        <w:ind w:firstLine="480"/>
        <w:rPr>
          <w:rFonts w:ascii="仿宋" w:hAnsi="仿宋" w:eastAsia="仿宋" w:cs="宋体"/>
          <w:bCs/>
          <w:color w:val="auto"/>
          <w:kern w:val="0"/>
          <w:sz w:val="24"/>
          <w:szCs w:val="24"/>
        </w:rPr>
      </w:pPr>
      <w:r>
        <w:rPr>
          <w:rFonts w:hint="eastAsia" w:ascii="仿宋" w:hAnsi="仿宋" w:eastAsia="仿宋" w:cs="宋体"/>
          <w:bCs/>
          <w:color w:val="auto"/>
          <w:kern w:val="0"/>
          <w:sz w:val="24"/>
          <w:szCs w:val="24"/>
        </w:rPr>
        <w:t xml:space="preserve">                                                金额单位：人民币元</w:t>
      </w:r>
    </w:p>
    <w:tbl>
      <w:tblPr>
        <w:tblStyle w:val="13"/>
        <w:tblW w:w="833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8"/>
        <w:gridCol w:w="979"/>
        <w:gridCol w:w="2448"/>
        <w:gridCol w:w="1096"/>
        <w:gridCol w:w="1591"/>
        <w:gridCol w:w="13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1" w:hRule="atLeast"/>
          <w:tblHeader/>
          <w:jc w:val="center"/>
        </w:trPr>
        <w:tc>
          <w:tcPr>
            <w:tcW w:w="838" w:type="dxa"/>
            <w:tcBorders>
              <w:top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合同包</w:t>
            </w:r>
          </w:p>
        </w:tc>
        <w:tc>
          <w:tcPr>
            <w:tcW w:w="97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品目号</w:t>
            </w:r>
          </w:p>
        </w:tc>
        <w:tc>
          <w:tcPr>
            <w:tcW w:w="2448"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采购标的</w:t>
            </w:r>
          </w:p>
        </w:tc>
        <w:tc>
          <w:tcPr>
            <w:tcW w:w="10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允许进口</w:t>
            </w:r>
          </w:p>
        </w:tc>
        <w:tc>
          <w:tcPr>
            <w:tcW w:w="159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数量</w:t>
            </w:r>
          </w:p>
        </w:tc>
        <w:tc>
          <w:tcPr>
            <w:tcW w:w="138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最高限价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838" w:type="dxa"/>
            <w:tcBorders>
              <w:top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97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1-1</w:t>
            </w:r>
          </w:p>
        </w:tc>
        <w:tc>
          <w:tcPr>
            <w:tcW w:w="2448"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sz w:val="24"/>
              </w:rPr>
              <w:t>福建理工大学2023年信息化建设与管理中心机房气体灭火装置更换及安装项目</w:t>
            </w:r>
          </w:p>
        </w:tc>
        <w:tc>
          <w:tcPr>
            <w:tcW w:w="10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否</w:t>
            </w:r>
          </w:p>
        </w:tc>
        <w:tc>
          <w:tcPr>
            <w:tcW w:w="159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2套（含灭火装置：1套；报警电器：1套）</w:t>
            </w:r>
          </w:p>
        </w:tc>
        <w:tc>
          <w:tcPr>
            <w:tcW w:w="138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仿宋" w:hAnsi="仿宋" w:eastAsia="仿宋" w:cs="宋体"/>
                <w:color w:val="auto"/>
                <w:kern w:val="0"/>
                <w:sz w:val="24"/>
              </w:rPr>
            </w:pPr>
            <w:r>
              <w:rPr>
                <w:rFonts w:ascii="仿宋" w:hAnsi="仿宋" w:eastAsia="仿宋" w:cs="宋体"/>
                <w:color w:val="auto"/>
                <w:kern w:val="0"/>
                <w:sz w:val="24"/>
              </w:rPr>
              <w:t>77000</w:t>
            </w:r>
          </w:p>
        </w:tc>
      </w:tr>
    </w:tbl>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2.投标人的资格要求：</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w:t>
      </w:r>
      <w:r>
        <w:rPr>
          <w:rFonts w:ascii="仿宋" w:hAnsi="仿宋" w:eastAsia="仿宋" w:cs="宋体"/>
          <w:color w:val="auto"/>
          <w:sz w:val="24"/>
        </w:rPr>
        <w:t>1</w:t>
      </w:r>
      <w:r>
        <w:rPr>
          <w:rFonts w:hint="eastAsia" w:ascii="仿宋" w:hAnsi="仿宋" w:eastAsia="仿宋" w:cs="宋体"/>
          <w:color w:val="auto"/>
          <w:sz w:val="24"/>
        </w:rPr>
        <w:t>）投标人应是有能力提供本次招标货物及服务，具有招标项目经营范围的国内供应商。</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w:t>
      </w:r>
      <w:r>
        <w:rPr>
          <w:rFonts w:ascii="仿宋" w:hAnsi="仿宋" w:eastAsia="仿宋" w:cs="宋体"/>
          <w:color w:val="auto"/>
          <w:sz w:val="24"/>
        </w:rPr>
        <w:t>2</w:t>
      </w:r>
      <w:r>
        <w:rPr>
          <w:rFonts w:hint="eastAsia" w:ascii="仿宋" w:hAnsi="仿宋" w:eastAsia="仿宋" w:cs="宋体"/>
          <w:color w:val="auto"/>
          <w:sz w:val="24"/>
        </w:rPr>
        <w:t>）须提供合格有效的营业执照、税务登记证、组织机构代码证副本复印件或三证合一营业执照副本复印件。</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w:t>
      </w:r>
      <w:r>
        <w:rPr>
          <w:rFonts w:ascii="仿宋" w:hAnsi="仿宋" w:eastAsia="仿宋" w:cs="宋体"/>
          <w:color w:val="auto"/>
          <w:sz w:val="24"/>
        </w:rPr>
        <w:t>3</w:t>
      </w:r>
      <w:r>
        <w:rPr>
          <w:rFonts w:hint="eastAsia" w:ascii="仿宋" w:hAnsi="仿宋" w:eastAsia="仿宋" w:cs="宋体"/>
          <w:color w:val="auto"/>
          <w:sz w:val="24"/>
        </w:rPr>
        <w:t>）投标代表必须经投标人的法定代表人(国企可为负责人)关于参与本项目投标的授权，请提供法定代表人(负责人)授权投标代表的授权委托书原件（投标代表是法定代表人(负责人)无需），并提供法定代表人(负责人)和投标代表的身份证正、背面复印件。</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w:t>
      </w:r>
      <w:r>
        <w:rPr>
          <w:rFonts w:ascii="仿宋" w:hAnsi="仿宋" w:eastAsia="仿宋" w:cs="宋体"/>
          <w:color w:val="auto"/>
          <w:sz w:val="24"/>
        </w:rPr>
        <w:t>4</w:t>
      </w:r>
      <w:r>
        <w:rPr>
          <w:rFonts w:hint="eastAsia" w:ascii="仿宋" w:hAnsi="仿宋" w:eastAsia="仿宋" w:cs="宋体"/>
          <w:color w:val="auto"/>
          <w:sz w:val="24"/>
        </w:rPr>
        <w:t>）本项目不接受联合体方式报价。</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3.投标人可按合同包投标，对同一合同包内所有品目号内容投标时必须完整。评审与授标以合同包为单位。</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4.投标人报价为货物送达及安装，经采购人验收合格并交付使用所有可能发生的费用，包括检测、安装、人工、税收、售后服务等一切费用。还要考虑到合同中可能出现的索赔和变更。</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5.《采购标的一览表》中的清单数量为确定采购数量，最终结算以采购人验收合格为准。</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6.投标人必须保证所投货物为生产厂家的正规合格产品，产品安装到位并交付使用，所提供的货物应符合国家相关法律法规，货物必须是原厂原包装，通过合法渠道获得。若因此给采购人造成损失的，投标人还要负赔偿责任。</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7.中标供应商不得转包他人，若发现转包，采购人有权终止合同，并追究相应法律责任。</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8.除非另有规定，投标人所报单价和以细目总价填报的价格在合同实施期间应保持不变，均不受市场价格及政策性价格的调整而增减。投标人提供的货物必须以现场交货价填报货物价格。</w:t>
      </w:r>
    </w:p>
    <w:p>
      <w:pPr>
        <w:tabs>
          <w:tab w:val="left" w:pos="900"/>
        </w:tabs>
        <w:adjustRightInd w:val="0"/>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二、技术要求</w:t>
      </w:r>
      <w:r>
        <w:rPr>
          <w:rFonts w:hint="eastAsia" w:ascii="仿宋" w:hAnsi="仿宋" w:eastAsia="仿宋"/>
          <w:b/>
          <w:bCs/>
          <w:color w:val="auto"/>
          <w:sz w:val="24"/>
        </w:rPr>
        <w:t>（以“★”标示的内容为不允许负偏离的实质性要求）</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1.质量标准：</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投标人需提供机房气体灭火装置设计图纸，所有设备包安装，所有费用由投标人承担。</w:t>
      </w:r>
    </w:p>
    <w:p>
      <w:pPr>
        <w:tabs>
          <w:tab w:val="left" w:pos="900"/>
        </w:tabs>
        <w:adjustRightInd w:val="0"/>
        <w:spacing w:line="360" w:lineRule="auto"/>
        <w:ind w:firstLine="480"/>
        <w:rPr>
          <w:rFonts w:ascii="仿宋" w:hAnsi="仿宋" w:eastAsia="仿宋"/>
          <w:color w:val="auto"/>
          <w:sz w:val="24"/>
          <w:szCs w:val="24"/>
        </w:rPr>
      </w:pPr>
      <w:r>
        <w:rPr>
          <w:rFonts w:hint="eastAsia" w:ascii="仿宋" w:hAnsi="仿宋" w:eastAsia="仿宋"/>
          <w:color w:val="auto"/>
          <w:sz w:val="24"/>
          <w:szCs w:val="24"/>
        </w:rPr>
        <w:t>新采购的七氟丙烷灭火装置必须满足机房的消防要求，灭火装置必须按照设计图纸安装施工，并测试成功后交付使用且确保与学校消防主控制系统相兼容</w:t>
      </w:r>
    </w:p>
    <w:p>
      <w:pPr>
        <w:numPr>
          <w:ilvl w:val="0"/>
          <w:numId w:val="2"/>
        </w:numPr>
        <w:tabs>
          <w:tab w:val="left" w:pos="900"/>
          <w:tab w:val="clear" w:pos="312"/>
        </w:tabs>
        <w:adjustRightInd w:val="0"/>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次采购设备清单及</w:t>
      </w:r>
      <w:r>
        <w:rPr>
          <w:rFonts w:hint="eastAsia" w:ascii="仿宋" w:hAnsi="仿宋" w:eastAsia="仿宋"/>
          <w:color w:val="auto"/>
          <w:sz w:val="24"/>
          <w:szCs w:val="24"/>
        </w:rPr>
        <w:t>参数要求：</w:t>
      </w:r>
    </w:p>
    <w:tbl>
      <w:tblPr>
        <w:tblStyle w:val="13"/>
        <w:tblpPr w:leftFromText="180" w:rightFromText="180" w:vertAnchor="text" w:horzAnchor="page" w:tblpX="1455" w:tblpY="170"/>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111"/>
        <w:gridCol w:w="1791"/>
        <w:gridCol w:w="3804"/>
        <w:gridCol w:w="45"/>
        <w:gridCol w:w="61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0" w:type="dxa"/>
            <w:gridSpan w:val="7"/>
            <w:vAlign w:val="center"/>
          </w:tcPr>
          <w:p>
            <w:pPr>
              <w:jc w:val="center"/>
              <w:rPr>
                <w:bCs/>
                <w:color w:val="auto"/>
                <w:sz w:val="18"/>
                <w:szCs w:val="18"/>
              </w:rPr>
            </w:pPr>
            <w:r>
              <w:rPr>
                <w:rFonts w:hint="eastAsia" w:ascii="宋体" w:hAnsi="宋体" w:cs="宋体"/>
                <w:b/>
                <w:color w:val="auto"/>
              </w:rPr>
              <w:t>气体灭火、火灾报警显示招采清单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序号</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设备类别</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产品名称</w:t>
            </w:r>
          </w:p>
        </w:tc>
        <w:tc>
          <w:tcPr>
            <w:tcW w:w="3849" w:type="dxa"/>
            <w:gridSpan w:val="2"/>
            <w:vAlign w:val="center"/>
          </w:tcPr>
          <w:p>
            <w:pPr>
              <w:jc w:val="center"/>
              <w:rPr>
                <w:rFonts w:ascii="宋体" w:hAnsi="宋体" w:cs="宋体"/>
                <w:bCs/>
                <w:color w:val="auto"/>
                <w:sz w:val="18"/>
                <w:szCs w:val="18"/>
              </w:rPr>
            </w:pPr>
            <w:r>
              <w:rPr>
                <w:rFonts w:hint="eastAsia" w:ascii="宋体" w:hAnsi="宋体" w:cs="宋体"/>
                <w:bCs/>
                <w:color w:val="auto"/>
                <w:sz w:val="18"/>
                <w:szCs w:val="18"/>
              </w:rPr>
              <w:t>技术参数</w:t>
            </w:r>
          </w:p>
        </w:tc>
        <w:tc>
          <w:tcPr>
            <w:tcW w:w="615"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单位</w:t>
            </w:r>
          </w:p>
        </w:tc>
        <w:tc>
          <w:tcPr>
            <w:tcW w:w="990"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1</w:t>
            </w:r>
          </w:p>
        </w:tc>
        <w:tc>
          <w:tcPr>
            <w:tcW w:w="1111" w:type="dxa"/>
            <w:vAlign w:val="center"/>
          </w:tcPr>
          <w:p>
            <w:pPr>
              <w:jc w:val="center"/>
              <w:rPr>
                <w:rFonts w:ascii="宋体" w:hAnsi="宋体" w:cs="宋体"/>
                <w:bCs/>
                <w:color w:val="auto"/>
                <w:sz w:val="18"/>
                <w:szCs w:val="18"/>
              </w:rPr>
            </w:pPr>
            <w:r>
              <w:rPr>
                <w:rFonts w:hint="eastAsia" w:ascii="宋体" w:hAnsi="宋体" w:cs="宋体"/>
                <w:color w:val="auto"/>
                <w:kern w:val="0"/>
                <w:sz w:val="20"/>
                <w:szCs w:val="20"/>
              </w:rPr>
              <w:t>网络中心机房</w:t>
            </w: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color w:val="auto"/>
                <w:sz w:val="18"/>
                <w:szCs w:val="18"/>
              </w:rPr>
            </w:pPr>
            <w:r>
              <w:rPr>
                <w:rFonts w:hint="eastAsia" w:ascii="宋体" w:hAnsi="宋体" w:cs="宋体"/>
                <w:color w:val="auto"/>
                <w:kern w:val="0"/>
                <w:sz w:val="20"/>
                <w:szCs w:val="20"/>
              </w:rPr>
              <w:t>柜式灭火装置（单瓶）</w:t>
            </w:r>
          </w:p>
        </w:tc>
        <w:tc>
          <w:tcPr>
            <w:tcW w:w="3849" w:type="dxa"/>
            <w:gridSpan w:val="2"/>
            <w:vAlign w:val="center"/>
          </w:tcPr>
          <w:p>
            <w:pPr>
              <w:jc w:val="left"/>
              <w:rPr>
                <w:rFonts w:ascii="宋体" w:hAnsi="宋体" w:cs="宋体"/>
                <w:bCs/>
                <w:color w:val="auto"/>
                <w:sz w:val="18"/>
                <w:szCs w:val="18"/>
              </w:rPr>
            </w:pPr>
            <w:r>
              <w:rPr>
                <w:rFonts w:hint="eastAsia" w:ascii="宋体" w:hAnsi="宋体" w:cs="宋体"/>
                <w:bCs/>
                <w:color w:val="auto"/>
                <w:sz w:val="18"/>
                <w:szCs w:val="18"/>
              </w:rPr>
              <w:t xml:space="preserve">七氟丙烷气体装置是集灭火剂瓶组、连接管、喷嘴、电磁驱动器等于一体，与气体灭火灾控制器、火灾探器等联接，可实现自动探测并实施灭火。主要组成：①钢瓶②瓶头阀③启动装置④柜体⑤喷头⑥高压软管⑦高压弯头⑧瓶箍；钢瓶容积为120L,运行的环境温度要求为0℃-50℃，20℃贮存压力为2.5MPa，最大工作压力为4.2MPa，最大充装密度为1120kg/m³；       </w:t>
            </w:r>
          </w:p>
        </w:tc>
        <w:tc>
          <w:tcPr>
            <w:tcW w:w="615"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套</w:t>
            </w:r>
          </w:p>
        </w:tc>
        <w:tc>
          <w:tcPr>
            <w:tcW w:w="990" w:type="dxa"/>
            <w:vAlign w:val="center"/>
          </w:tcPr>
          <w:p>
            <w:pPr>
              <w:jc w:val="center"/>
              <w:rPr>
                <w:rFonts w:ascii="宋体" w:hAnsi="宋体" w:cs="宋体"/>
                <w:color w:val="auto"/>
                <w:sz w:val="18"/>
                <w:szCs w:val="18"/>
              </w:rPr>
            </w:pPr>
            <w:r>
              <w:rPr>
                <w:rFonts w:hint="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2</w:t>
            </w:r>
          </w:p>
        </w:tc>
        <w:tc>
          <w:tcPr>
            <w:tcW w:w="1111" w:type="dxa"/>
            <w:vAlign w:val="center"/>
          </w:tcPr>
          <w:p>
            <w:pPr>
              <w:jc w:val="center"/>
              <w:rPr>
                <w:rFonts w:ascii="宋体" w:hAnsi="宋体" w:cs="宋体"/>
                <w:bCs/>
                <w:color w:val="auto"/>
                <w:sz w:val="18"/>
                <w:szCs w:val="18"/>
              </w:rPr>
            </w:pPr>
            <w:r>
              <w:rPr>
                <w:rFonts w:hint="eastAsia" w:ascii="宋体" w:hAnsi="宋体" w:cs="宋体"/>
                <w:color w:val="auto"/>
                <w:kern w:val="0"/>
                <w:sz w:val="20"/>
                <w:szCs w:val="20"/>
              </w:rPr>
              <w:t>网络机房</w:t>
            </w: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color w:val="auto"/>
                <w:sz w:val="18"/>
                <w:szCs w:val="18"/>
              </w:rPr>
            </w:pPr>
            <w:r>
              <w:rPr>
                <w:rFonts w:hint="eastAsia" w:ascii="宋体" w:hAnsi="宋体" w:cs="宋体"/>
                <w:color w:val="auto"/>
                <w:kern w:val="0"/>
                <w:sz w:val="20"/>
                <w:szCs w:val="20"/>
              </w:rPr>
              <w:t>柜式灭火装置（单瓶）</w:t>
            </w:r>
          </w:p>
        </w:tc>
        <w:tc>
          <w:tcPr>
            <w:tcW w:w="3849" w:type="dxa"/>
            <w:gridSpan w:val="2"/>
            <w:vAlign w:val="center"/>
          </w:tcPr>
          <w:p>
            <w:pPr>
              <w:jc w:val="left"/>
              <w:rPr>
                <w:rFonts w:ascii="宋体" w:hAnsi="宋体" w:cs="宋体"/>
                <w:bCs/>
                <w:color w:val="auto"/>
                <w:sz w:val="18"/>
                <w:szCs w:val="18"/>
              </w:rPr>
            </w:pPr>
            <w:r>
              <w:rPr>
                <w:rFonts w:hint="eastAsia" w:ascii="宋体" w:hAnsi="宋体" w:cs="宋体"/>
                <w:bCs/>
                <w:color w:val="auto"/>
                <w:sz w:val="18"/>
                <w:szCs w:val="18"/>
              </w:rPr>
              <w:t>七氟丙烷气体装置是集灭火剂瓶组、连接管、喷嘴、电磁驱动器等于一体，与气体灭火灾控制器、火灾探器等联接，可实现自动探测并实施灭火。主要组成：①钢瓶②瓶头阀③启动装置④柜体⑤喷头⑥高压软管⑦高压弯头⑧瓶箍；钢瓶容积为100L,运行的环境温度要求为0℃-50℃，20℃贮存压力为2.5MPa，最大工作压力为4.2MPa，最大充装密度为1000kg/m³；</w:t>
            </w:r>
          </w:p>
        </w:tc>
        <w:tc>
          <w:tcPr>
            <w:tcW w:w="615"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套</w:t>
            </w:r>
          </w:p>
        </w:tc>
        <w:tc>
          <w:tcPr>
            <w:tcW w:w="990" w:type="dxa"/>
            <w:vAlign w:val="center"/>
          </w:tcPr>
          <w:p>
            <w:pPr>
              <w:jc w:val="center"/>
              <w:rPr>
                <w:color w:val="auto"/>
                <w:sz w:val="18"/>
                <w:szCs w:val="18"/>
              </w:rPr>
            </w:pPr>
            <w:r>
              <w:rPr>
                <w:rFonts w:hint="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3</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color w:val="auto"/>
                <w:sz w:val="18"/>
                <w:szCs w:val="18"/>
              </w:rPr>
            </w:pPr>
            <w:r>
              <w:rPr>
                <w:rFonts w:hint="eastAsia" w:ascii="宋体" w:hAnsi="宋体" w:cs="宋体"/>
                <w:bCs/>
                <w:color w:val="auto"/>
                <w:sz w:val="18"/>
                <w:szCs w:val="18"/>
              </w:rPr>
              <w:t>灭火剂</w:t>
            </w:r>
          </w:p>
        </w:tc>
        <w:tc>
          <w:tcPr>
            <w:tcW w:w="3804" w:type="dxa"/>
            <w:vAlign w:val="center"/>
          </w:tcPr>
          <w:p>
            <w:pPr>
              <w:pStyle w:val="11"/>
              <w:widowControl/>
              <w:spacing w:before="180" w:beforeAutospacing="0" w:after="0" w:afterAutospacing="0" w:line="345" w:lineRule="atLeast"/>
              <w:jc w:val="both"/>
              <w:rPr>
                <w:rFonts w:ascii="宋体" w:hAnsi="宋体" w:cs="宋体"/>
                <w:color w:val="auto"/>
                <w:kern w:val="2"/>
                <w:sz w:val="18"/>
                <w:szCs w:val="18"/>
              </w:rPr>
            </w:pPr>
            <w:r>
              <w:rPr>
                <w:rFonts w:hint="eastAsia" w:ascii="宋体" w:hAnsi="宋体" w:cs="宋体"/>
                <w:color w:val="auto"/>
                <w:kern w:val="2"/>
                <w:sz w:val="18"/>
                <w:szCs w:val="18"/>
              </w:rPr>
              <w:t>七氟丙烷灭火剂，无色、无味、清洁、低毒，灭火后无残留物，对大气臭氧层无破坏作用，是环保型灭火剂。</w:t>
            </w:r>
          </w:p>
          <w:p>
            <w:pPr>
              <w:pStyle w:val="11"/>
              <w:widowControl/>
              <w:spacing w:before="180" w:beforeAutospacing="0" w:after="0" w:afterAutospacing="0" w:line="345" w:lineRule="atLeast"/>
              <w:jc w:val="both"/>
              <w:rPr>
                <w:rFonts w:ascii="宋体" w:hAnsi="宋体" w:cs="宋体"/>
                <w:color w:val="auto"/>
                <w:kern w:val="2"/>
                <w:sz w:val="18"/>
                <w:szCs w:val="18"/>
              </w:rPr>
            </w:pPr>
            <w:r>
              <w:rPr>
                <w:rFonts w:hint="eastAsia" w:ascii="宋体" w:hAnsi="宋体" w:cs="宋体"/>
                <w:color w:val="auto"/>
                <w:kern w:val="2"/>
                <w:sz w:val="18"/>
                <w:szCs w:val="18"/>
              </w:rPr>
              <w:t>七氟丙烷灭火剂主要技术指标</w:t>
            </w:r>
          </w:p>
          <w:tbl>
            <w:tblPr>
              <w:tblStyle w:val="13"/>
              <w:tblW w:w="320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04"/>
              <w:gridCol w:w="16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160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性能</w:t>
                  </w:r>
                </w:p>
              </w:tc>
              <w:tc>
                <w:tcPr>
                  <w:tcW w:w="1605"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技术指标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7" w:hRule="atLeast"/>
              </w:trPr>
              <w:tc>
                <w:tcPr>
                  <w:tcW w:w="1604"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纯度</w:t>
                  </w:r>
                </w:p>
              </w:tc>
              <w:tc>
                <w:tcPr>
                  <w:tcW w:w="1605" w:type="dxa"/>
                  <w:tcBorders>
                    <w:top w:val="nil"/>
                    <w:left w:val="nil"/>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99.6%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7" w:hRule="atLeast"/>
              </w:trPr>
              <w:tc>
                <w:tcPr>
                  <w:tcW w:w="1604"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酸度</w:t>
                  </w:r>
                </w:p>
              </w:tc>
              <w:tc>
                <w:tcPr>
                  <w:tcW w:w="1605" w:type="dxa"/>
                  <w:tcBorders>
                    <w:top w:val="nil"/>
                    <w:left w:val="nil"/>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3ppm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7" w:hRule="atLeast"/>
              </w:trPr>
              <w:tc>
                <w:tcPr>
                  <w:tcW w:w="1604"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水含量</w:t>
                  </w:r>
                </w:p>
              </w:tc>
              <w:tc>
                <w:tcPr>
                  <w:tcW w:w="1605" w:type="dxa"/>
                  <w:tcBorders>
                    <w:top w:val="nil"/>
                    <w:left w:val="nil"/>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10ppm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9" w:hRule="atLeast"/>
              </w:trPr>
              <w:tc>
                <w:tcPr>
                  <w:tcW w:w="1604"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不挥发残留物</w:t>
                  </w:r>
                </w:p>
              </w:tc>
              <w:tc>
                <w:tcPr>
                  <w:tcW w:w="1605" w:type="dxa"/>
                  <w:tcBorders>
                    <w:top w:val="nil"/>
                    <w:left w:val="nil"/>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0.01%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1" w:hRule="atLeast"/>
              </w:trPr>
              <w:tc>
                <w:tcPr>
                  <w:tcW w:w="1604"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悬浮或沉淀物</w:t>
                  </w:r>
                </w:p>
              </w:tc>
              <w:tc>
                <w:tcPr>
                  <w:tcW w:w="1605" w:type="dxa"/>
                  <w:tcBorders>
                    <w:top w:val="nil"/>
                    <w:left w:val="nil"/>
                    <w:bottom w:val="single" w:color="000000" w:sz="6" w:space="0"/>
                    <w:right w:val="single" w:color="000000" w:sz="6" w:space="0"/>
                  </w:tcBorders>
                  <w:shd w:val="clear" w:color="auto" w:fill="FFFFFF"/>
                  <w:tcMar>
                    <w:left w:w="105" w:type="dxa"/>
                    <w:right w:w="105" w:type="dxa"/>
                  </w:tcMar>
                </w:tcPr>
                <w:p>
                  <w:pPr>
                    <w:pStyle w:val="11"/>
                    <w:rPr>
                      <w:color w:val="auto"/>
                      <w:sz w:val="18"/>
                      <w:szCs w:val="18"/>
                    </w:rPr>
                  </w:pPr>
                  <w:r>
                    <w:rPr>
                      <w:rFonts w:hint="eastAsia"/>
                      <w:color w:val="auto"/>
                      <w:sz w:val="18"/>
                      <w:szCs w:val="18"/>
                    </w:rPr>
                    <w:t>不可见</w:t>
                  </w:r>
                </w:p>
              </w:tc>
            </w:tr>
          </w:tbl>
          <w:p>
            <w:pPr>
              <w:jc w:val="left"/>
              <w:rPr>
                <w:rFonts w:ascii="宋体" w:hAnsi="宋体" w:cs="宋体"/>
                <w:bCs/>
                <w:color w:val="auto"/>
                <w:sz w:val="18"/>
                <w:szCs w:val="18"/>
              </w:rPr>
            </w:pPr>
          </w:p>
        </w:tc>
        <w:tc>
          <w:tcPr>
            <w:tcW w:w="660" w:type="dxa"/>
            <w:gridSpan w:val="2"/>
            <w:vAlign w:val="center"/>
          </w:tcPr>
          <w:p>
            <w:pPr>
              <w:jc w:val="center"/>
              <w:rPr>
                <w:rFonts w:ascii="宋体" w:hAnsi="宋体" w:cs="宋体"/>
                <w:bCs/>
                <w:color w:val="auto"/>
                <w:sz w:val="18"/>
                <w:szCs w:val="18"/>
              </w:rPr>
            </w:pPr>
            <w:r>
              <w:rPr>
                <w:rFonts w:hint="eastAsia" w:ascii="宋体" w:hAnsi="宋体" w:cs="宋体"/>
                <w:bCs/>
                <w:color w:val="auto"/>
                <w:sz w:val="18"/>
                <w:szCs w:val="18"/>
              </w:rPr>
              <w:t>KG</w:t>
            </w:r>
          </w:p>
        </w:tc>
        <w:tc>
          <w:tcPr>
            <w:tcW w:w="990" w:type="dxa"/>
            <w:vAlign w:val="center"/>
          </w:tcPr>
          <w:p>
            <w:pPr>
              <w:jc w:val="center"/>
              <w:rPr>
                <w:color w:val="auto"/>
                <w:sz w:val="18"/>
                <w:szCs w:val="18"/>
              </w:rPr>
            </w:pPr>
            <w:r>
              <w:rPr>
                <w:rFonts w:hint="eastAsia"/>
                <w:color w:val="auto"/>
                <w:sz w:val="18"/>
                <w:szCs w:val="18"/>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4</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color w:val="auto"/>
                <w:sz w:val="18"/>
                <w:szCs w:val="18"/>
              </w:rPr>
            </w:pPr>
            <w:r>
              <w:rPr>
                <w:rFonts w:hint="eastAsia" w:ascii="宋体" w:hAnsi="宋体" w:cs="宋体"/>
                <w:bCs/>
                <w:color w:val="auto"/>
                <w:sz w:val="18"/>
                <w:szCs w:val="18"/>
              </w:rPr>
              <w:t>机械式泄压装置</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机械泄压装置，动作压力为1000Pa±50Pa，关闭压力为：850Pa±50Pa，环境温度为－25℃~55℃，有效泄压面积为0.126㎡，开孔尺寸为：400*400</w:t>
            </w:r>
          </w:p>
        </w:tc>
        <w:tc>
          <w:tcPr>
            <w:tcW w:w="660" w:type="dxa"/>
            <w:gridSpan w:val="2"/>
            <w:vAlign w:val="center"/>
          </w:tcPr>
          <w:p>
            <w:pPr>
              <w:jc w:val="center"/>
              <w:rPr>
                <w:rFonts w:ascii="宋体" w:hAnsi="宋体" w:cs="宋体"/>
                <w:bCs/>
                <w:color w:val="auto"/>
                <w:sz w:val="18"/>
                <w:szCs w:val="18"/>
              </w:rPr>
            </w:pPr>
            <w:r>
              <w:rPr>
                <w:rFonts w:hint="eastAsia" w:ascii="宋体" w:hAnsi="宋体" w:cs="宋体"/>
                <w:bCs/>
                <w:color w:val="auto"/>
                <w:sz w:val="18"/>
                <w:szCs w:val="18"/>
              </w:rPr>
              <w:t>台</w:t>
            </w:r>
          </w:p>
        </w:tc>
        <w:tc>
          <w:tcPr>
            <w:tcW w:w="990" w:type="dxa"/>
            <w:vAlign w:val="center"/>
          </w:tcPr>
          <w:p>
            <w:pPr>
              <w:jc w:val="center"/>
              <w:rPr>
                <w:color w:val="auto"/>
                <w:sz w:val="18"/>
                <w:szCs w:val="18"/>
              </w:rPr>
            </w:pPr>
            <w:r>
              <w:rPr>
                <w:rFonts w:hint="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5</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点型光电感烟火灾探测器</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编码型；工作电压DC24V;监视电流≤50uA;动作电流1mA~20mA</w:t>
            </w:r>
          </w:p>
        </w:tc>
        <w:tc>
          <w:tcPr>
            <w:tcW w:w="660" w:type="dxa"/>
            <w:gridSpan w:val="2"/>
            <w:vAlign w:val="center"/>
          </w:tcPr>
          <w:p>
            <w:pPr>
              <w:jc w:val="center"/>
              <w:rPr>
                <w:rFonts w:ascii="宋体" w:hAnsi="宋体" w:cs="宋体"/>
                <w:bCs/>
                <w:color w:val="auto"/>
                <w:sz w:val="18"/>
                <w:szCs w:val="18"/>
              </w:rPr>
            </w:pPr>
            <w:r>
              <w:rPr>
                <w:rFonts w:hint="eastAsia" w:ascii="宋体" w:hAnsi="宋体" w:cs="宋体"/>
                <w:bCs/>
                <w:color w:val="auto"/>
                <w:sz w:val="18"/>
                <w:szCs w:val="18"/>
              </w:rPr>
              <w:t>只</w:t>
            </w:r>
          </w:p>
        </w:tc>
        <w:tc>
          <w:tcPr>
            <w:tcW w:w="990" w:type="dxa"/>
            <w:vAlign w:val="center"/>
          </w:tcPr>
          <w:p>
            <w:pPr>
              <w:jc w:val="center"/>
              <w:rPr>
                <w:color w:val="auto"/>
                <w:sz w:val="18"/>
                <w:szCs w:val="18"/>
              </w:rPr>
            </w:pPr>
            <w:r>
              <w:rPr>
                <w:rFonts w:hint="eastAsia"/>
                <w:color w:val="auto"/>
                <w:sz w:val="18"/>
                <w:szCs w:val="18"/>
              </w:rPr>
              <w:t>3</w:t>
            </w:r>
          </w:p>
        </w:tc>
      </w:tr>
    </w:tbl>
    <w:p>
      <w:pPr>
        <w:tabs>
          <w:tab w:val="left" w:pos="900"/>
        </w:tabs>
        <w:adjustRightInd w:val="0"/>
        <w:spacing w:line="360" w:lineRule="auto"/>
        <w:rPr>
          <w:rFonts w:ascii="仿宋" w:hAnsi="仿宋" w:eastAsia="仿宋"/>
          <w:color w:val="auto"/>
          <w:sz w:val="24"/>
          <w:szCs w:val="24"/>
        </w:rPr>
      </w:pPr>
    </w:p>
    <w:p>
      <w:pPr>
        <w:tabs>
          <w:tab w:val="left" w:pos="900"/>
        </w:tabs>
        <w:adjustRightInd w:val="0"/>
        <w:spacing w:line="360" w:lineRule="auto"/>
        <w:ind w:firstLine="480"/>
        <w:rPr>
          <w:rFonts w:ascii="仿宋" w:hAnsi="仿宋" w:eastAsia="仿宋"/>
          <w:color w:val="auto"/>
          <w:sz w:val="24"/>
          <w:szCs w:val="24"/>
        </w:rPr>
      </w:pPr>
    </w:p>
    <w:tbl>
      <w:tblPr>
        <w:tblStyle w:val="13"/>
        <w:tblpPr w:leftFromText="180" w:rightFromText="180" w:vertAnchor="text" w:horzAnchor="page" w:tblpX="1455" w:tblpY="170"/>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111"/>
        <w:gridCol w:w="1791"/>
        <w:gridCol w:w="3804"/>
        <w:gridCol w:w="66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6</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点型光电感温火灾探测器</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编码型工作电压DC24V;监视电流≤50uA;动作电流1mA~20mA</w:t>
            </w:r>
          </w:p>
        </w:tc>
        <w:tc>
          <w:tcPr>
            <w:tcW w:w="660"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只</w:t>
            </w:r>
          </w:p>
        </w:tc>
        <w:tc>
          <w:tcPr>
            <w:tcW w:w="990" w:type="dxa"/>
            <w:vAlign w:val="center"/>
          </w:tcPr>
          <w:p>
            <w:pPr>
              <w:jc w:val="center"/>
              <w:rPr>
                <w:color w:val="auto"/>
                <w:sz w:val="18"/>
                <w:szCs w:val="18"/>
              </w:rPr>
            </w:pPr>
            <w:r>
              <w:rPr>
                <w:rFonts w:hint="eastAsia"/>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7</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紧急启/停按钮</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编码型工作电压DC24V;监视电流≤10mA;闪光频率每分钟闪亮45次</w:t>
            </w:r>
          </w:p>
        </w:tc>
        <w:tc>
          <w:tcPr>
            <w:tcW w:w="660"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只</w:t>
            </w:r>
          </w:p>
        </w:tc>
        <w:tc>
          <w:tcPr>
            <w:tcW w:w="990" w:type="dxa"/>
            <w:vAlign w:val="center"/>
          </w:tcPr>
          <w:p>
            <w:pPr>
              <w:jc w:val="center"/>
              <w:rPr>
                <w:color w:val="auto"/>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8</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气体释放警报器</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 xml:space="preserve">编码型工作电压DC24V;监视电流≤10mA;闪光频率每分钟闪亮45次 </w:t>
            </w:r>
          </w:p>
        </w:tc>
        <w:tc>
          <w:tcPr>
            <w:tcW w:w="660"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只</w:t>
            </w:r>
          </w:p>
        </w:tc>
        <w:tc>
          <w:tcPr>
            <w:tcW w:w="990" w:type="dxa"/>
            <w:vAlign w:val="center"/>
          </w:tcPr>
          <w:p>
            <w:pPr>
              <w:jc w:val="center"/>
              <w:rPr>
                <w:color w:val="auto"/>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9</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火灾声光报警器</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编码型 启动后发出强烈的声光警号，具有外控输入控制触点，总线制（DC.24V电源线，有极性；回路总线，无极性）</w:t>
            </w:r>
          </w:p>
        </w:tc>
        <w:tc>
          <w:tcPr>
            <w:tcW w:w="660"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只</w:t>
            </w:r>
          </w:p>
        </w:tc>
        <w:tc>
          <w:tcPr>
            <w:tcW w:w="990" w:type="dxa"/>
            <w:vAlign w:val="center"/>
          </w:tcPr>
          <w:p>
            <w:pPr>
              <w:jc w:val="center"/>
              <w:rPr>
                <w:color w:val="auto"/>
                <w:sz w:val="18"/>
                <w:szCs w:val="18"/>
              </w:rPr>
            </w:pPr>
            <w:r>
              <w:rPr>
                <w:rFonts w:hint="eastAsia"/>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94"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10</w:t>
            </w:r>
          </w:p>
        </w:tc>
        <w:tc>
          <w:tcPr>
            <w:tcW w:w="111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气体灭火系统</w:t>
            </w:r>
          </w:p>
        </w:tc>
        <w:tc>
          <w:tcPr>
            <w:tcW w:w="1791"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辅材</w:t>
            </w:r>
          </w:p>
        </w:tc>
        <w:tc>
          <w:tcPr>
            <w:tcW w:w="3804" w:type="dxa"/>
            <w:vAlign w:val="center"/>
          </w:tcPr>
          <w:p>
            <w:pPr>
              <w:jc w:val="left"/>
              <w:rPr>
                <w:rFonts w:ascii="宋体" w:hAnsi="宋体" w:cs="宋体"/>
                <w:bCs/>
                <w:color w:val="auto"/>
                <w:sz w:val="18"/>
                <w:szCs w:val="18"/>
              </w:rPr>
            </w:pPr>
            <w:r>
              <w:rPr>
                <w:rFonts w:hint="eastAsia" w:ascii="宋体" w:hAnsi="宋体" w:cs="宋体"/>
                <w:bCs/>
                <w:color w:val="auto"/>
                <w:sz w:val="18"/>
                <w:szCs w:val="18"/>
              </w:rPr>
              <w:t>管、线、86盒等其它</w:t>
            </w:r>
          </w:p>
        </w:tc>
        <w:tc>
          <w:tcPr>
            <w:tcW w:w="660" w:type="dxa"/>
            <w:vAlign w:val="center"/>
          </w:tcPr>
          <w:p>
            <w:pPr>
              <w:jc w:val="center"/>
              <w:rPr>
                <w:rFonts w:ascii="宋体" w:hAnsi="宋体" w:cs="宋体"/>
                <w:bCs/>
                <w:color w:val="auto"/>
                <w:sz w:val="18"/>
                <w:szCs w:val="18"/>
              </w:rPr>
            </w:pPr>
            <w:r>
              <w:rPr>
                <w:rFonts w:hint="eastAsia" w:ascii="宋体" w:hAnsi="宋体" w:cs="宋体"/>
                <w:bCs/>
                <w:color w:val="auto"/>
                <w:sz w:val="18"/>
                <w:szCs w:val="18"/>
              </w:rPr>
              <w:t>批</w:t>
            </w:r>
          </w:p>
        </w:tc>
        <w:tc>
          <w:tcPr>
            <w:tcW w:w="990" w:type="dxa"/>
            <w:vAlign w:val="center"/>
          </w:tcPr>
          <w:p>
            <w:pPr>
              <w:jc w:val="center"/>
              <w:rPr>
                <w:color w:val="auto"/>
                <w:sz w:val="18"/>
                <w:szCs w:val="18"/>
              </w:rPr>
            </w:pPr>
            <w:r>
              <w:rPr>
                <w:rFonts w:hint="eastAsia"/>
                <w:color w:val="auto"/>
                <w:sz w:val="18"/>
                <w:szCs w:val="18"/>
              </w:rPr>
              <w:t>1</w:t>
            </w:r>
          </w:p>
        </w:tc>
      </w:tr>
    </w:tbl>
    <w:p>
      <w:pPr>
        <w:keepNext/>
        <w:keepLines/>
        <w:spacing w:afterLines="50" w:line="413" w:lineRule="auto"/>
        <w:rPr>
          <w:rFonts w:ascii="仿宋" w:hAnsi="仿宋" w:eastAsia="仿宋" w:cs="宋体"/>
          <w:b/>
          <w:color w:val="auto"/>
          <w:sz w:val="24"/>
          <w:szCs w:val="24"/>
        </w:rPr>
      </w:pPr>
      <w:r>
        <w:rPr>
          <w:rFonts w:hint="eastAsia" w:ascii="仿宋" w:hAnsi="仿宋" w:eastAsia="仿宋" w:cs="宋体"/>
          <w:color w:val="auto"/>
          <w:sz w:val="24"/>
        </w:rPr>
        <w:t>3、</w:t>
      </w:r>
      <w:r>
        <w:rPr>
          <w:rFonts w:hint="eastAsia" w:ascii="宋体" w:hAnsi="宋体" w:cs="宋体"/>
          <w:b/>
          <w:color w:val="auto"/>
          <w:sz w:val="32"/>
          <w:szCs w:val="32"/>
        </w:rPr>
        <w:t xml:space="preserve"> </w:t>
      </w:r>
      <w:r>
        <w:rPr>
          <w:rFonts w:hint="eastAsia" w:ascii="仿宋" w:hAnsi="仿宋" w:eastAsia="仿宋" w:cs="宋体"/>
          <w:b/>
          <w:color w:val="auto"/>
          <w:sz w:val="24"/>
          <w:szCs w:val="24"/>
        </w:rPr>
        <w:t xml:space="preserve"> 综合评审细则</w:t>
      </w:r>
    </w:p>
    <w:p>
      <w:pPr>
        <w:snapToGrid w:val="0"/>
        <w:spacing w:line="440" w:lineRule="exact"/>
        <w:rPr>
          <w:rFonts w:ascii="仿宋" w:hAnsi="仿宋" w:eastAsia="仿宋"/>
          <w:b/>
          <w:color w:val="auto"/>
          <w:sz w:val="24"/>
          <w:szCs w:val="24"/>
        </w:rPr>
      </w:pPr>
      <w:r>
        <w:rPr>
          <w:rFonts w:hint="eastAsia" w:ascii="仿宋" w:hAnsi="仿宋" w:eastAsia="仿宋"/>
          <w:b/>
          <w:color w:val="auto"/>
          <w:sz w:val="24"/>
          <w:szCs w:val="24"/>
        </w:rPr>
        <w:t>分值构成如下（总分100分）：</w:t>
      </w:r>
    </w:p>
    <w:p>
      <w:pPr>
        <w:adjustRightInd w:val="0"/>
        <w:snapToGrid w:val="0"/>
        <w:spacing w:line="460" w:lineRule="atLeast"/>
        <w:rPr>
          <w:rFonts w:ascii="宋体" w:hAnsi="宋体"/>
          <w:b/>
          <w:color w:val="auto"/>
        </w:rPr>
      </w:pPr>
      <w:r>
        <w:rPr>
          <w:rFonts w:hint="eastAsia" w:ascii="宋体" w:hAnsi="宋体"/>
          <w:b/>
          <w:color w:val="auto"/>
        </w:rPr>
        <w:t>本项目采用综合评分法进行评议，各部分评分分值分布如下：</w:t>
      </w:r>
    </w:p>
    <w:p>
      <w:pPr>
        <w:adjustRightInd w:val="0"/>
        <w:snapToGrid w:val="0"/>
        <w:spacing w:line="460" w:lineRule="atLeast"/>
        <w:rPr>
          <w:rFonts w:ascii="宋体" w:hAnsi="宋体"/>
          <w:color w:val="auto"/>
        </w:rPr>
      </w:pPr>
      <w:r>
        <w:rPr>
          <w:rFonts w:hint="eastAsia" w:ascii="宋体" w:hAnsi="宋体"/>
          <w:color w:val="auto"/>
        </w:rPr>
        <w:t>A：技术部分评分               满分50分</w:t>
      </w:r>
    </w:p>
    <w:p>
      <w:pPr>
        <w:adjustRightInd w:val="0"/>
        <w:snapToGrid w:val="0"/>
        <w:spacing w:line="460" w:lineRule="atLeast"/>
        <w:rPr>
          <w:rFonts w:ascii="宋体" w:hAnsi="宋体"/>
          <w:color w:val="auto"/>
        </w:rPr>
      </w:pPr>
      <w:r>
        <w:rPr>
          <w:rFonts w:hint="eastAsia" w:ascii="宋体" w:hAnsi="宋体"/>
          <w:color w:val="auto"/>
        </w:rPr>
        <w:t>B：商务部分评分</w:t>
      </w:r>
      <w:r>
        <w:rPr>
          <w:rFonts w:ascii="宋体" w:hAnsi="宋体"/>
          <w:color w:val="auto"/>
        </w:rPr>
        <w:t xml:space="preserve">         </w:t>
      </w:r>
      <w:r>
        <w:rPr>
          <w:rFonts w:hint="eastAsia" w:ascii="宋体" w:hAnsi="宋体"/>
          <w:color w:val="auto"/>
        </w:rPr>
        <w:t xml:space="preserve">    </w:t>
      </w:r>
      <w:r>
        <w:rPr>
          <w:rFonts w:ascii="宋体" w:hAnsi="宋体"/>
          <w:color w:val="auto"/>
        </w:rPr>
        <w:t xml:space="preserve">  </w:t>
      </w:r>
      <w:r>
        <w:rPr>
          <w:rFonts w:hint="eastAsia" w:ascii="宋体" w:hAnsi="宋体"/>
          <w:color w:val="auto"/>
        </w:rPr>
        <w:t>满分30分</w:t>
      </w:r>
    </w:p>
    <w:p>
      <w:pPr>
        <w:adjustRightInd w:val="0"/>
        <w:snapToGrid w:val="0"/>
        <w:spacing w:line="460" w:lineRule="atLeast"/>
        <w:rPr>
          <w:rFonts w:ascii="宋体" w:hAnsi="宋体"/>
          <w:color w:val="auto"/>
        </w:rPr>
      </w:pPr>
      <w:r>
        <w:rPr>
          <w:rFonts w:hint="eastAsia" w:ascii="宋体" w:hAnsi="宋体"/>
          <w:color w:val="auto"/>
        </w:rPr>
        <w:t>C：报价部分评分</w:t>
      </w:r>
      <w:r>
        <w:rPr>
          <w:rFonts w:ascii="宋体" w:hAnsi="宋体"/>
          <w:color w:val="auto"/>
        </w:rPr>
        <w:t xml:space="preserve">           </w:t>
      </w:r>
      <w:r>
        <w:rPr>
          <w:rFonts w:hint="eastAsia" w:ascii="宋体" w:hAnsi="宋体"/>
          <w:color w:val="auto"/>
        </w:rPr>
        <w:t xml:space="preserve">    满分20分</w:t>
      </w:r>
    </w:p>
    <w:p>
      <w:pPr>
        <w:spacing w:line="440" w:lineRule="exact"/>
        <w:rPr>
          <w:rFonts w:ascii="Arial" w:hAnsi="Arial"/>
          <w:color w:val="auto"/>
        </w:rPr>
      </w:pPr>
      <w:r>
        <w:rPr>
          <w:rFonts w:hint="eastAsia" w:ascii="宋体" w:hAnsi="宋体"/>
          <w:color w:val="auto"/>
        </w:rPr>
        <w:t>综合得分为：A+B+C</w:t>
      </w:r>
    </w:p>
    <w:p>
      <w:pPr>
        <w:numPr>
          <w:ilvl w:val="0"/>
          <w:numId w:val="3"/>
        </w:numPr>
        <w:outlineLvl w:val="0"/>
        <w:rPr>
          <w:rFonts w:ascii="仿宋" w:hAnsi="仿宋" w:eastAsia="仿宋"/>
          <w:b/>
          <w:color w:val="auto"/>
          <w:sz w:val="24"/>
          <w:szCs w:val="24"/>
        </w:rPr>
      </w:pPr>
      <w:r>
        <w:rPr>
          <w:rFonts w:hint="eastAsia" w:ascii="仿宋" w:hAnsi="仿宋" w:eastAsia="仿宋"/>
          <w:b/>
          <w:color w:val="auto"/>
          <w:sz w:val="24"/>
          <w:szCs w:val="24"/>
        </w:rPr>
        <w:t>商务评分（满分100分，权重30%）</w:t>
      </w:r>
    </w:p>
    <w:tbl>
      <w:tblPr>
        <w:tblStyle w:val="13"/>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17"/>
        <w:gridCol w:w="1848"/>
        <w:gridCol w:w="426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24"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项目</w:t>
            </w:r>
          </w:p>
        </w:tc>
        <w:tc>
          <w:tcPr>
            <w:tcW w:w="1517"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评分项目</w:t>
            </w:r>
          </w:p>
        </w:tc>
        <w:tc>
          <w:tcPr>
            <w:tcW w:w="1848"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项  目  细  分</w:t>
            </w:r>
          </w:p>
        </w:tc>
        <w:tc>
          <w:tcPr>
            <w:tcW w:w="4264"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评分细则</w:t>
            </w:r>
          </w:p>
        </w:tc>
        <w:tc>
          <w:tcPr>
            <w:tcW w:w="705"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4"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color w:val="auto"/>
                <w:kern w:val="0"/>
                <w:sz w:val="24"/>
                <w:szCs w:val="24"/>
              </w:rPr>
              <w:t>1</w:t>
            </w:r>
          </w:p>
        </w:tc>
        <w:tc>
          <w:tcPr>
            <w:tcW w:w="1517" w:type="dxa"/>
            <w:vAlign w:val="center"/>
          </w:tcPr>
          <w:p>
            <w:pPr>
              <w:widowControl/>
              <w:jc w:val="left"/>
              <w:rPr>
                <w:rFonts w:ascii="仿宋" w:hAnsi="仿宋" w:eastAsia="仿宋" w:cs="宋体"/>
                <w:b/>
                <w:bCs/>
                <w:color w:val="auto"/>
                <w:kern w:val="0"/>
                <w:sz w:val="24"/>
                <w:szCs w:val="24"/>
              </w:rPr>
            </w:pP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应答文件响应完整性</w:t>
            </w:r>
          </w:p>
        </w:tc>
        <w:tc>
          <w:tcPr>
            <w:tcW w:w="1848"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color w:val="auto"/>
                <w:kern w:val="0"/>
                <w:sz w:val="24"/>
                <w:szCs w:val="24"/>
              </w:rPr>
              <w:t>应答文件响应完全</w:t>
            </w:r>
          </w:p>
        </w:tc>
        <w:tc>
          <w:tcPr>
            <w:tcW w:w="4264" w:type="dxa"/>
            <w:vAlign w:val="center"/>
          </w:tcPr>
          <w:p>
            <w:pPr>
              <w:widowControl/>
              <w:jc w:val="left"/>
              <w:rPr>
                <w:rFonts w:ascii="仿宋" w:hAnsi="仿宋" w:eastAsia="仿宋" w:cs="宋体"/>
                <w:b/>
                <w:bCs/>
                <w:color w:val="auto"/>
                <w:kern w:val="0"/>
                <w:sz w:val="24"/>
                <w:szCs w:val="24"/>
              </w:rPr>
            </w:pPr>
            <w:r>
              <w:rPr>
                <w:rFonts w:hint="eastAsia" w:ascii="仿宋" w:hAnsi="仿宋" w:eastAsia="仿宋" w:cs="宋体"/>
                <w:color w:val="auto"/>
                <w:kern w:val="0"/>
                <w:sz w:val="24"/>
                <w:szCs w:val="24"/>
              </w:rPr>
              <w:t>根据</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应答文件响应情况由高到低分3档，</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文件响应情况良好的得</w:t>
            </w:r>
            <w:r>
              <w:rPr>
                <w:rFonts w:hint="eastAsia" w:ascii="仿宋" w:hAnsi="仿宋" w:eastAsia="仿宋" w:cs="宋体"/>
                <w:color w:val="auto"/>
                <w:kern w:val="0"/>
                <w:sz w:val="24"/>
                <w:szCs w:val="24"/>
                <w:lang w:val="en-US" w:eastAsia="zh-CN"/>
              </w:rPr>
              <w:t>30</w:t>
            </w:r>
            <w:r>
              <w:rPr>
                <w:rFonts w:hint="eastAsia" w:ascii="仿宋" w:hAnsi="仿宋" w:eastAsia="仿宋" w:cs="宋体"/>
                <w:color w:val="auto"/>
                <w:kern w:val="0"/>
                <w:sz w:val="24"/>
                <w:szCs w:val="24"/>
              </w:rPr>
              <w:t>分，一般的得</w:t>
            </w:r>
            <w:r>
              <w:rPr>
                <w:rFonts w:hint="eastAsia" w:ascii="仿宋" w:hAnsi="仿宋" w:eastAsia="仿宋" w:cs="宋体"/>
                <w:color w:val="auto"/>
                <w:kern w:val="0"/>
                <w:sz w:val="24"/>
                <w:szCs w:val="24"/>
                <w:lang w:val="en-US" w:eastAsia="zh-CN"/>
              </w:rPr>
              <w:t>20</w:t>
            </w:r>
            <w:r>
              <w:rPr>
                <w:rFonts w:hint="eastAsia" w:ascii="仿宋" w:hAnsi="仿宋" w:eastAsia="仿宋" w:cs="宋体"/>
                <w:color w:val="auto"/>
                <w:kern w:val="0"/>
                <w:sz w:val="24"/>
                <w:szCs w:val="24"/>
              </w:rPr>
              <w:t>分，较差的得</w:t>
            </w:r>
            <w:r>
              <w:rPr>
                <w:rFonts w:hint="eastAsia" w:ascii="仿宋" w:hAnsi="仿宋" w:eastAsia="仿宋" w:cs="宋体"/>
                <w:color w:val="auto"/>
                <w:kern w:val="0"/>
                <w:sz w:val="24"/>
                <w:szCs w:val="24"/>
                <w:lang w:val="en-US" w:eastAsia="zh-CN"/>
              </w:rPr>
              <w:t>10</w:t>
            </w:r>
            <w:r>
              <w:rPr>
                <w:rFonts w:hint="eastAsia" w:ascii="仿宋" w:hAnsi="仿宋" w:eastAsia="仿宋" w:cs="宋体"/>
                <w:color w:val="auto"/>
                <w:kern w:val="0"/>
                <w:sz w:val="24"/>
                <w:szCs w:val="24"/>
              </w:rPr>
              <w:t>分</w:t>
            </w:r>
          </w:p>
        </w:tc>
        <w:tc>
          <w:tcPr>
            <w:tcW w:w="705" w:type="dxa"/>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824" w:type="dxa"/>
            <w:vMerge w:val="restart"/>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2</w:t>
            </w:r>
          </w:p>
        </w:tc>
        <w:tc>
          <w:tcPr>
            <w:tcW w:w="1517" w:type="dxa"/>
            <w:vMerge w:val="restart"/>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企业综合能力</w:t>
            </w:r>
          </w:p>
        </w:tc>
        <w:tc>
          <w:tcPr>
            <w:tcW w:w="1848"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经营年限</w:t>
            </w:r>
          </w:p>
        </w:tc>
        <w:tc>
          <w:tcPr>
            <w:tcW w:w="4264"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根据各应答人的企业经营年限情况进行评分: 经营年限＜3年的得3分,3年≤经营年限＜5年的得6分, 经营年限≥5年的得10分。（须提供营业执照等证明材料复印件）</w:t>
            </w:r>
          </w:p>
        </w:tc>
        <w:tc>
          <w:tcPr>
            <w:tcW w:w="705"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824" w:type="dxa"/>
            <w:vMerge w:val="continue"/>
            <w:vAlign w:val="center"/>
          </w:tcPr>
          <w:p>
            <w:pPr>
              <w:widowControl/>
              <w:jc w:val="center"/>
              <w:rPr>
                <w:rFonts w:ascii="仿宋" w:hAnsi="仿宋" w:eastAsia="仿宋" w:cs="宋体"/>
                <w:color w:val="auto"/>
                <w:kern w:val="0"/>
                <w:sz w:val="24"/>
                <w:szCs w:val="24"/>
              </w:rPr>
            </w:pPr>
          </w:p>
        </w:tc>
        <w:tc>
          <w:tcPr>
            <w:tcW w:w="1517" w:type="dxa"/>
            <w:vMerge w:val="continue"/>
            <w:vAlign w:val="center"/>
          </w:tcPr>
          <w:p>
            <w:pPr>
              <w:widowControl/>
              <w:jc w:val="left"/>
              <w:rPr>
                <w:rFonts w:ascii="仿宋" w:hAnsi="仿宋" w:eastAsia="仿宋" w:cs="宋体"/>
                <w:color w:val="auto"/>
                <w:kern w:val="0"/>
                <w:sz w:val="24"/>
                <w:szCs w:val="24"/>
              </w:rPr>
            </w:pPr>
          </w:p>
        </w:tc>
        <w:tc>
          <w:tcPr>
            <w:tcW w:w="1848"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相关管理体系认证证书情况</w:t>
            </w:r>
          </w:p>
        </w:tc>
        <w:tc>
          <w:tcPr>
            <w:tcW w:w="4264" w:type="dxa"/>
            <w:vAlign w:val="center"/>
          </w:tcPr>
          <w:p>
            <w:pPr>
              <w:widowControl/>
              <w:jc w:val="left"/>
              <w:rPr>
                <w:rFonts w:ascii="仿宋" w:hAnsi="仿宋" w:eastAsia="仿宋" w:cs="宋体"/>
                <w:color w:val="auto"/>
                <w:sz w:val="24"/>
                <w:szCs w:val="24"/>
              </w:rPr>
            </w:pP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人提供的七氟丙烷自动灭火装置制造商</w:t>
            </w:r>
            <w:r>
              <w:rPr>
                <w:rFonts w:hint="eastAsia" w:ascii="仿宋" w:hAnsi="仿宋" w:eastAsia="仿宋" w:cs="宋体"/>
                <w:color w:val="auto"/>
                <w:sz w:val="24"/>
                <w:szCs w:val="24"/>
              </w:rPr>
              <w:t>同时具备有效的质量管理体系认证、环境管理体系认证、职业健康安全管理体系</w:t>
            </w:r>
            <w:r>
              <w:rPr>
                <w:rFonts w:hint="eastAsia" w:ascii="仿宋" w:hAnsi="仿宋" w:eastAsia="仿宋" w:cs="宋体"/>
                <w:color w:val="auto"/>
                <w:kern w:val="0"/>
                <w:sz w:val="24"/>
                <w:szCs w:val="24"/>
              </w:rPr>
              <w:t>的得</w:t>
            </w:r>
            <w:r>
              <w:rPr>
                <w:rFonts w:hint="eastAsia" w:ascii="仿宋" w:hAnsi="仿宋" w:eastAsia="仿宋" w:cs="宋体"/>
                <w:color w:val="auto"/>
                <w:sz w:val="24"/>
                <w:szCs w:val="24"/>
              </w:rPr>
              <w:t>30分，每缺少1项减10分。未获得认证或认证无效的不得分。</w:t>
            </w:r>
          </w:p>
        </w:tc>
        <w:tc>
          <w:tcPr>
            <w:tcW w:w="705"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24"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3</w:t>
            </w:r>
          </w:p>
        </w:tc>
        <w:tc>
          <w:tcPr>
            <w:tcW w:w="1517" w:type="dxa"/>
            <w:vAlign w:val="center"/>
          </w:tcPr>
          <w:p>
            <w:pPr>
              <w:widowControl/>
              <w:jc w:val="center"/>
              <w:rPr>
                <w:rFonts w:ascii="仿宋" w:hAnsi="仿宋" w:eastAsia="仿宋" w:cs="宋体"/>
                <w:color w:val="auto"/>
                <w:kern w:val="0"/>
                <w:sz w:val="24"/>
                <w:szCs w:val="24"/>
              </w:rPr>
            </w:pPr>
          </w:p>
        </w:tc>
        <w:tc>
          <w:tcPr>
            <w:tcW w:w="1848"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制造商专利</w:t>
            </w:r>
          </w:p>
        </w:tc>
        <w:tc>
          <w:tcPr>
            <w:tcW w:w="4264"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人需提供气体灭火类相关的实用新型专利证书，提供一份得5分，满分30分；（原件备查）</w:t>
            </w:r>
          </w:p>
        </w:tc>
        <w:tc>
          <w:tcPr>
            <w:tcW w:w="705"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30</w:t>
            </w:r>
          </w:p>
        </w:tc>
      </w:tr>
    </w:tbl>
    <w:p>
      <w:pPr>
        <w:outlineLvl w:val="0"/>
        <w:rPr>
          <w:rFonts w:ascii="仿宋" w:hAnsi="仿宋" w:eastAsia="仿宋" w:cs="宋体"/>
          <w:b/>
          <w:color w:val="auto"/>
          <w:sz w:val="24"/>
          <w:szCs w:val="24"/>
        </w:rPr>
      </w:pPr>
      <w:r>
        <w:rPr>
          <w:rFonts w:hint="eastAsia" w:ascii="仿宋" w:hAnsi="仿宋" w:eastAsia="仿宋"/>
          <w:b/>
          <w:color w:val="auto"/>
          <w:sz w:val="24"/>
          <w:szCs w:val="24"/>
        </w:rPr>
        <w:t>二、技术评分（满分100分，权重50%）</w:t>
      </w:r>
    </w:p>
    <w:tbl>
      <w:tblPr>
        <w:tblStyle w:val="13"/>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8"/>
        <w:gridCol w:w="1478"/>
        <w:gridCol w:w="1860"/>
        <w:gridCol w:w="4294"/>
        <w:gridCol w:w="7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6" w:hRule="atLeast"/>
          <w:tblHeader/>
          <w:jc w:val="center"/>
        </w:trPr>
        <w:tc>
          <w:tcPr>
            <w:tcW w:w="85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b/>
                <w:bCs/>
                <w:color w:val="auto"/>
                <w:kern w:val="0"/>
                <w:sz w:val="24"/>
                <w:szCs w:val="24"/>
              </w:rPr>
              <w:t>项目</w:t>
            </w:r>
          </w:p>
        </w:tc>
        <w:tc>
          <w:tcPr>
            <w:tcW w:w="147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sz w:val="24"/>
                <w:szCs w:val="24"/>
              </w:rPr>
            </w:pPr>
            <w:r>
              <w:rPr>
                <w:rFonts w:hint="eastAsia" w:ascii="仿宋" w:hAnsi="仿宋" w:eastAsia="仿宋" w:cs="宋体"/>
                <w:b/>
                <w:bCs/>
                <w:color w:val="auto"/>
                <w:kern w:val="0"/>
                <w:sz w:val="24"/>
                <w:szCs w:val="24"/>
              </w:rPr>
              <w:t>评分项目</w:t>
            </w:r>
          </w:p>
        </w:tc>
        <w:tc>
          <w:tcPr>
            <w:tcW w:w="18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sz w:val="24"/>
                <w:szCs w:val="24"/>
              </w:rPr>
            </w:pPr>
            <w:r>
              <w:rPr>
                <w:rFonts w:hint="eastAsia" w:ascii="仿宋" w:hAnsi="仿宋" w:eastAsia="仿宋" w:cs="宋体"/>
                <w:b/>
                <w:bCs/>
                <w:color w:val="auto"/>
                <w:kern w:val="0"/>
                <w:sz w:val="24"/>
                <w:szCs w:val="24"/>
              </w:rPr>
              <w:t>项目细分</w:t>
            </w:r>
          </w:p>
        </w:tc>
        <w:tc>
          <w:tcPr>
            <w:tcW w:w="42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sz w:val="24"/>
                <w:szCs w:val="24"/>
              </w:rPr>
            </w:pPr>
            <w:r>
              <w:rPr>
                <w:rFonts w:hint="eastAsia" w:ascii="仿宋" w:hAnsi="仿宋" w:eastAsia="仿宋" w:cs="宋体"/>
                <w:b/>
                <w:bCs/>
                <w:color w:val="auto"/>
                <w:kern w:val="0"/>
                <w:sz w:val="24"/>
                <w:szCs w:val="24"/>
              </w:rPr>
              <w:t>评分细则</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b/>
                <w:bCs/>
                <w:color w:val="auto"/>
                <w:kern w:val="0"/>
                <w:sz w:val="24"/>
                <w:szCs w:val="24"/>
              </w:rPr>
              <w:t>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58" w:type="dxa"/>
            <w:tcBorders>
              <w:top w:val="outset" w:color="auto" w:sz="6" w:space="0"/>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一</w:t>
            </w:r>
          </w:p>
        </w:tc>
        <w:tc>
          <w:tcPr>
            <w:tcW w:w="8337" w:type="dxa"/>
            <w:gridSpan w:val="4"/>
            <w:tcBorders>
              <w:top w:val="outset" w:color="auto" w:sz="6" w:space="0"/>
              <w:left w:val="outset" w:color="auto" w:sz="6" w:space="0"/>
              <w:bottom w:val="outset" w:color="auto" w:sz="6" w:space="0"/>
              <w:right w:val="outset" w:color="auto" w:sz="6" w:space="0"/>
            </w:tcBorders>
            <w:vAlign w:val="center"/>
          </w:tcPr>
          <w:p>
            <w:pPr>
              <w:widowControl/>
              <w:rPr>
                <w:rFonts w:ascii="仿宋" w:hAnsi="仿宋" w:eastAsia="仿宋" w:cs="宋体"/>
                <w:color w:val="auto"/>
                <w:kern w:val="0"/>
                <w:sz w:val="24"/>
                <w:szCs w:val="24"/>
              </w:rPr>
            </w:pPr>
            <w:r>
              <w:rPr>
                <w:rFonts w:hint="eastAsia" w:ascii="仿宋" w:hAnsi="仿宋" w:eastAsia="仿宋" w:cs="宋体"/>
                <w:b/>
                <w:bCs/>
                <w:color w:val="auto"/>
                <w:kern w:val="0"/>
                <w:sz w:val="24"/>
                <w:szCs w:val="24"/>
              </w:rPr>
              <w:t>技术要求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5" w:hRule="atLeast"/>
          <w:jc w:val="center"/>
        </w:trPr>
        <w:tc>
          <w:tcPr>
            <w:tcW w:w="858" w:type="dxa"/>
            <w:tcBorders>
              <w:top w:val="outset" w:color="auto" w:sz="6" w:space="0"/>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w:t>
            </w:r>
          </w:p>
        </w:tc>
        <w:tc>
          <w:tcPr>
            <w:tcW w:w="147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sz w:val="24"/>
                <w:szCs w:val="24"/>
              </w:rPr>
            </w:pPr>
            <w:r>
              <w:rPr>
                <w:rFonts w:hint="eastAsia" w:ascii="仿宋" w:hAnsi="仿宋" w:eastAsia="仿宋" w:cs="宋体"/>
                <w:color w:val="auto"/>
                <w:sz w:val="24"/>
                <w:szCs w:val="24"/>
              </w:rPr>
              <w:t>产品技术参数</w:t>
            </w:r>
          </w:p>
        </w:tc>
        <w:tc>
          <w:tcPr>
            <w:tcW w:w="18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sz w:val="24"/>
                <w:szCs w:val="24"/>
              </w:rPr>
            </w:pPr>
            <w:r>
              <w:rPr>
                <w:rFonts w:hint="eastAsia" w:ascii="仿宋" w:hAnsi="仿宋" w:eastAsia="仿宋" w:cs="宋体"/>
                <w:color w:val="auto"/>
                <w:sz w:val="24"/>
                <w:szCs w:val="24"/>
              </w:rPr>
              <w:t>关键技术参数</w:t>
            </w:r>
          </w:p>
        </w:tc>
        <w:tc>
          <w:tcPr>
            <w:tcW w:w="429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全部技术参数和性能满足</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文件要求，其中重要参数全部优于</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文件要求，得15分；</w:t>
            </w:r>
          </w:p>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全部技术参数和性能满足</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文件要求，其中重要参数部分优于</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文件要求，得13分；</w:t>
            </w:r>
          </w:p>
          <w:p>
            <w:pPr>
              <w:widowControl/>
              <w:jc w:val="left"/>
              <w:rPr>
                <w:rFonts w:ascii="仿宋" w:hAnsi="仿宋" w:eastAsia="仿宋" w:cs="宋体"/>
                <w:color w:val="auto"/>
                <w:sz w:val="24"/>
                <w:szCs w:val="24"/>
              </w:rPr>
            </w:pPr>
            <w:r>
              <w:rPr>
                <w:rFonts w:hint="eastAsia" w:ascii="仿宋" w:hAnsi="仿宋" w:eastAsia="仿宋" w:cs="宋体"/>
                <w:color w:val="auto"/>
                <w:kern w:val="0"/>
                <w:sz w:val="24"/>
                <w:szCs w:val="24"/>
              </w:rPr>
              <w:t>全部技术参数和性能满足</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文件要求，其中重要参数等于</w:t>
            </w:r>
            <w:r>
              <w:rPr>
                <w:rFonts w:hint="eastAsia" w:ascii="仿宋" w:hAnsi="仿宋" w:eastAsia="仿宋" w:cs="宋体"/>
                <w:color w:val="auto"/>
                <w:kern w:val="0"/>
                <w:sz w:val="24"/>
                <w:szCs w:val="24"/>
                <w:lang w:val="en-US" w:eastAsia="zh-CN"/>
              </w:rPr>
              <w:t>磋商</w:t>
            </w:r>
            <w:r>
              <w:rPr>
                <w:rFonts w:hint="eastAsia" w:ascii="仿宋" w:hAnsi="仿宋" w:eastAsia="仿宋" w:cs="宋体"/>
                <w:color w:val="auto"/>
                <w:kern w:val="0"/>
                <w:sz w:val="24"/>
                <w:szCs w:val="24"/>
              </w:rPr>
              <w:t>文件要求，得11分</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858" w:type="dxa"/>
            <w:tcBorders>
              <w:top w:val="outset" w:color="auto" w:sz="6" w:space="0"/>
              <w:left w:val="outset" w:color="auto" w:sz="6" w:space="0"/>
              <w:right w:val="outset" w:color="auto" w:sz="6" w:space="0"/>
            </w:tcBorders>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2</w:t>
            </w:r>
          </w:p>
        </w:tc>
        <w:tc>
          <w:tcPr>
            <w:tcW w:w="1478" w:type="dxa"/>
            <w:tcBorders>
              <w:top w:val="outset" w:color="auto" w:sz="6" w:space="0"/>
              <w:left w:val="outset" w:color="auto" w:sz="6" w:space="0"/>
              <w:right w:val="outset" w:color="auto" w:sz="6" w:space="0"/>
            </w:tcBorders>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检测报告</w:t>
            </w:r>
          </w:p>
        </w:tc>
        <w:tc>
          <w:tcPr>
            <w:tcW w:w="1860" w:type="dxa"/>
            <w:tcBorders>
              <w:top w:val="outset" w:color="auto" w:sz="6" w:space="0"/>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产品检测报告</w:t>
            </w:r>
          </w:p>
        </w:tc>
        <w:tc>
          <w:tcPr>
            <w:tcW w:w="429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根据</w:t>
            </w: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人提供所投产品检测机构出具的检测报告复印件（加盖公章）及3C认证，得5分，原件备查。未提供或提供的检测报告不符不得分。</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3" w:hRule="atLeast"/>
          <w:jc w:val="center"/>
        </w:trPr>
        <w:tc>
          <w:tcPr>
            <w:tcW w:w="858" w:type="dxa"/>
            <w:tcBorders>
              <w:left w:val="outset" w:color="auto" w:sz="6" w:space="0"/>
              <w:right w:val="outset" w:color="auto" w:sz="6" w:space="0"/>
            </w:tcBorders>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二</w:t>
            </w:r>
          </w:p>
        </w:tc>
        <w:tc>
          <w:tcPr>
            <w:tcW w:w="8337" w:type="dxa"/>
            <w:gridSpan w:val="4"/>
            <w:tcBorders>
              <w:left w:val="outset" w:color="auto" w:sz="6" w:space="0"/>
              <w:right w:val="outset" w:color="auto" w:sz="6" w:space="0"/>
            </w:tcBorders>
            <w:vAlign w:val="center"/>
          </w:tcPr>
          <w:p>
            <w:pPr>
              <w:widowControl/>
              <w:rPr>
                <w:rFonts w:ascii="仿宋" w:hAnsi="仿宋" w:eastAsia="仿宋" w:cs="宋体"/>
                <w:color w:val="auto"/>
                <w:kern w:val="0"/>
                <w:sz w:val="24"/>
                <w:szCs w:val="24"/>
              </w:rPr>
            </w:pPr>
            <w:r>
              <w:rPr>
                <w:rFonts w:hint="eastAsia" w:ascii="仿宋" w:hAnsi="仿宋" w:eastAsia="仿宋" w:cs="宋体"/>
                <w:b/>
                <w:bCs/>
                <w:color w:val="auto"/>
                <w:kern w:val="0"/>
                <w:sz w:val="24"/>
                <w:szCs w:val="24"/>
              </w:rPr>
              <w:t>响应及服务要求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7" w:hRule="atLeast"/>
          <w:jc w:val="center"/>
        </w:trPr>
        <w:tc>
          <w:tcPr>
            <w:tcW w:w="858" w:type="dxa"/>
            <w:tcBorders>
              <w:left w:val="outset" w:color="auto" w:sz="6" w:space="0"/>
              <w:right w:val="outset" w:color="auto" w:sz="6" w:space="0"/>
            </w:tcBorders>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3</w:t>
            </w:r>
          </w:p>
        </w:tc>
        <w:tc>
          <w:tcPr>
            <w:tcW w:w="1478" w:type="dxa"/>
            <w:tcBorders>
              <w:left w:val="outset" w:color="auto" w:sz="6" w:space="0"/>
              <w:right w:val="outset" w:color="auto" w:sz="6" w:space="0"/>
            </w:tcBorders>
            <w:vAlign w:val="center"/>
          </w:tcPr>
          <w:p>
            <w:pPr>
              <w:jc w:val="center"/>
              <w:rPr>
                <w:rFonts w:ascii="仿宋" w:hAnsi="仿宋" w:eastAsia="仿宋" w:cs="宋体"/>
                <w:color w:val="auto"/>
                <w:sz w:val="24"/>
                <w:szCs w:val="24"/>
              </w:rPr>
            </w:pPr>
            <w:r>
              <w:rPr>
                <w:rFonts w:hint="eastAsia" w:ascii="仿宋" w:hAnsi="仿宋" w:eastAsia="仿宋" w:cs="宋体"/>
                <w:color w:val="auto"/>
                <w:kern w:val="0"/>
                <w:sz w:val="24"/>
                <w:szCs w:val="24"/>
              </w:rPr>
              <w:t>技术服务要求</w:t>
            </w:r>
          </w:p>
        </w:tc>
        <w:tc>
          <w:tcPr>
            <w:tcW w:w="18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气体灭火系统安装调试运行要求</w:t>
            </w:r>
          </w:p>
        </w:tc>
        <w:tc>
          <w:tcPr>
            <w:tcW w:w="429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可为采购人提供现场技术支持服务（由应答人独立承担黄山校区气体灭火系统工作的相关附件、辅材、报警系统、联动系统安装、调试、维护保养、现场支持，气体灭火主机满足采购人现有报警系统，做到兼容、可靠。</w:t>
            </w:r>
          </w:p>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合同签订一年内，</w:t>
            </w: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人须提供气体灭火系统常规巡视，每月一次的得20分，每季度一次的得10分，每半年一次的得5分。</w:t>
            </w:r>
          </w:p>
          <w:p>
            <w:pPr>
              <w:pStyle w:val="12"/>
              <w:ind w:firstLine="0" w:firstLineChars="0"/>
              <w:rPr>
                <w:rFonts w:ascii="仿宋" w:hAnsi="仿宋" w:eastAsia="仿宋" w:cs="宋体"/>
                <w:color w:val="auto"/>
                <w:kern w:val="0"/>
                <w:sz w:val="24"/>
                <w:szCs w:val="24"/>
              </w:rPr>
            </w:pPr>
            <w:r>
              <w:rPr>
                <w:rFonts w:hint="eastAsia" w:ascii="仿宋" w:hAnsi="仿宋" w:eastAsia="仿宋" w:cs="宋体"/>
                <w:color w:val="auto"/>
                <w:kern w:val="0"/>
                <w:sz w:val="24"/>
                <w:szCs w:val="24"/>
              </w:rPr>
              <w:t>合同签订两年内，</w:t>
            </w: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人须提供每年一次的气体灭火系统模拟喷气试验，每年一次的得10分，无法提供的，不得分。（提供承诺函，并提供气体灭火系统巡视方案，技术支持人员名单，人员履历，方案不符合实际不予得分。）</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 w:hRule="atLeast"/>
          <w:jc w:val="center"/>
        </w:trPr>
        <w:tc>
          <w:tcPr>
            <w:tcW w:w="858" w:type="dxa"/>
            <w:tcBorders>
              <w:left w:val="outset" w:color="auto" w:sz="6" w:space="0"/>
              <w:right w:val="outset" w:color="auto" w:sz="6" w:space="0"/>
            </w:tcBorders>
            <w:vAlign w:val="center"/>
          </w:tcPr>
          <w:p>
            <w:pPr>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4</w:t>
            </w:r>
          </w:p>
        </w:tc>
        <w:tc>
          <w:tcPr>
            <w:tcW w:w="1478" w:type="dxa"/>
            <w:tcBorders>
              <w:left w:val="outset" w:color="auto" w:sz="6" w:space="0"/>
              <w:right w:val="outset" w:color="auto" w:sz="6" w:space="0"/>
            </w:tcBorders>
            <w:vAlign w:val="center"/>
          </w:tcPr>
          <w:p>
            <w:pPr>
              <w:jc w:val="center"/>
              <w:rPr>
                <w:rFonts w:ascii="仿宋" w:hAnsi="仿宋" w:eastAsia="仿宋" w:cs="宋体"/>
                <w:color w:val="auto"/>
                <w:sz w:val="24"/>
                <w:szCs w:val="24"/>
              </w:rPr>
            </w:pPr>
            <w:r>
              <w:rPr>
                <w:rFonts w:hint="eastAsia" w:ascii="仿宋" w:hAnsi="仿宋" w:eastAsia="仿宋" w:cs="宋体"/>
                <w:color w:val="auto"/>
                <w:kern w:val="0"/>
                <w:sz w:val="24"/>
                <w:szCs w:val="24"/>
              </w:rPr>
              <w:t>配送要求</w:t>
            </w:r>
          </w:p>
        </w:tc>
        <w:tc>
          <w:tcPr>
            <w:tcW w:w="18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项目配送要求</w:t>
            </w:r>
          </w:p>
        </w:tc>
        <w:tc>
          <w:tcPr>
            <w:tcW w:w="4294" w:type="dxa"/>
            <w:tcBorders>
              <w:top w:val="outset" w:color="auto" w:sz="6" w:space="0"/>
              <w:left w:val="outset" w:color="auto" w:sz="6" w:space="0"/>
              <w:bottom w:val="outset" w:color="auto" w:sz="6" w:space="0"/>
              <w:right w:val="outset" w:color="auto" w:sz="6" w:space="0"/>
            </w:tcBorders>
            <w:vAlign w:val="center"/>
          </w:tcPr>
          <w:p>
            <w:pPr>
              <w:pStyle w:val="12"/>
              <w:ind w:firstLine="0" w:firstLineChars="0"/>
              <w:rPr>
                <w:rFonts w:ascii="仿宋" w:hAnsi="仿宋" w:eastAsia="仿宋" w:cs="宋体"/>
                <w:color w:val="auto"/>
                <w:kern w:val="0"/>
                <w:sz w:val="24"/>
                <w:szCs w:val="24"/>
              </w:rPr>
            </w:pPr>
            <w:r>
              <w:rPr>
                <w:rFonts w:hint="eastAsia" w:ascii="仿宋" w:hAnsi="仿宋" w:eastAsia="仿宋" w:cs="宋体"/>
                <w:color w:val="auto"/>
                <w:kern w:val="0"/>
                <w:sz w:val="24"/>
                <w:szCs w:val="24"/>
              </w:rPr>
              <w:t>根据各</w:t>
            </w: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人提供的配送方案全面性、合理性、可行性等方面，由评委横向比较后在0-5分之间打分。</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87" w:hRule="atLeast"/>
          <w:jc w:val="center"/>
        </w:trPr>
        <w:tc>
          <w:tcPr>
            <w:tcW w:w="858" w:type="dxa"/>
            <w:tcBorders>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5</w:t>
            </w:r>
          </w:p>
        </w:tc>
        <w:tc>
          <w:tcPr>
            <w:tcW w:w="1478" w:type="dxa"/>
            <w:tcBorders>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质量保障要求</w:t>
            </w:r>
          </w:p>
        </w:tc>
        <w:tc>
          <w:tcPr>
            <w:tcW w:w="18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项目质量保障要求</w:t>
            </w:r>
          </w:p>
        </w:tc>
        <w:tc>
          <w:tcPr>
            <w:tcW w:w="429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根据各</w:t>
            </w: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人提供的产品质量保障方案对应性、规范性、科学性、完整性等方面，由评委横向比较后在0-20分之间打分。</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87" w:hRule="atLeast"/>
          <w:jc w:val="center"/>
        </w:trPr>
        <w:tc>
          <w:tcPr>
            <w:tcW w:w="858" w:type="dxa"/>
            <w:tcBorders>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6</w:t>
            </w:r>
          </w:p>
        </w:tc>
        <w:tc>
          <w:tcPr>
            <w:tcW w:w="1478" w:type="dxa"/>
            <w:tcBorders>
              <w:left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同类产品销售业绩</w:t>
            </w:r>
          </w:p>
        </w:tc>
        <w:tc>
          <w:tcPr>
            <w:tcW w:w="18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投标</w:t>
            </w:r>
            <w:r>
              <w:rPr>
                <w:rFonts w:hint="eastAsia" w:ascii="仿宋" w:hAnsi="仿宋" w:eastAsia="仿宋" w:cs="宋体"/>
                <w:color w:val="auto"/>
                <w:kern w:val="0"/>
                <w:sz w:val="24"/>
                <w:szCs w:val="24"/>
              </w:rPr>
              <w:t>人应提供近三年同类项目工作业绩</w:t>
            </w:r>
          </w:p>
        </w:tc>
        <w:tc>
          <w:tcPr>
            <w:tcW w:w="4294"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cs="宋体"/>
                <w:color w:val="auto"/>
                <w:sz w:val="24"/>
                <w:szCs w:val="24"/>
              </w:rPr>
            </w:pPr>
            <w:r>
              <w:rPr>
                <w:rFonts w:hint="eastAsia" w:ascii="仿宋" w:hAnsi="仿宋" w:eastAsia="仿宋" w:cs="宋体"/>
                <w:color w:val="auto"/>
                <w:sz w:val="24"/>
                <w:szCs w:val="24"/>
                <w:lang w:val="en-US" w:eastAsia="zh-CN"/>
              </w:rPr>
              <w:t>投标</w:t>
            </w:r>
            <w:r>
              <w:rPr>
                <w:rFonts w:hint="eastAsia" w:ascii="仿宋" w:hAnsi="仿宋" w:eastAsia="仿宋" w:cs="宋体"/>
                <w:color w:val="auto"/>
                <w:sz w:val="24"/>
                <w:szCs w:val="24"/>
              </w:rPr>
              <w:t>人至应答截止时间前3年独立完成3项与本项目类型相似且单项合同金额不少于20万元业绩得10分；每增加1个上述业绩加5分，满分25分。</w:t>
            </w:r>
          </w:p>
          <w:p>
            <w:pPr>
              <w:widowControl/>
              <w:jc w:val="left"/>
              <w:rPr>
                <w:rFonts w:ascii="仿宋" w:hAnsi="仿宋" w:eastAsia="仿宋" w:cs="宋体"/>
                <w:color w:val="auto"/>
                <w:kern w:val="0"/>
                <w:sz w:val="24"/>
                <w:szCs w:val="24"/>
              </w:rPr>
            </w:pPr>
            <w:r>
              <w:rPr>
                <w:rFonts w:hint="eastAsia" w:ascii="仿宋" w:hAnsi="仿宋" w:eastAsia="仿宋" w:cs="宋体"/>
                <w:color w:val="auto"/>
                <w:sz w:val="24"/>
                <w:szCs w:val="24"/>
              </w:rPr>
              <w:t>注：【</w:t>
            </w:r>
            <w:r>
              <w:rPr>
                <w:rFonts w:hint="eastAsia" w:ascii="仿宋" w:hAnsi="仿宋" w:eastAsia="仿宋" w:cs="宋体"/>
                <w:color w:val="auto"/>
                <w:sz w:val="24"/>
                <w:szCs w:val="24"/>
                <w:lang w:val="en-US" w:eastAsia="zh-CN"/>
              </w:rPr>
              <w:t>投标</w:t>
            </w:r>
            <w:r>
              <w:rPr>
                <w:rFonts w:hint="eastAsia" w:ascii="仿宋" w:hAnsi="仿宋" w:eastAsia="仿宋" w:cs="宋体"/>
                <w:color w:val="auto"/>
                <w:sz w:val="24"/>
                <w:szCs w:val="24"/>
              </w:rPr>
              <w:t>人须提供该业绩项目合同文本及往来结算发票复印件】（原件备查）。提供不全者不得分。[评审小组将保留要求</w:t>
            </w:r>
            <w:r>
              <w:rPr>
                <w:rFonts w:hint="eastAsia" w:ascii="仿宋" w:hAnsi="仿宋" w:eastAsia="仿宋" w:cs="宋体"/>
                <w:color w:val="auto"/>
                <w:sz w:val="24"/>
                <w:szCs w:val="24"/>
                <w:lang w:val="en-US" w:eastAsia="zh-CN"/>
              </w:rPr>
              <w:t>投标</w:t>
            </w:r>
            <w:r>
              <w:rPr>
                <w:rFonts w:hint="eastAsia" w:ascii="仿宋" w:hAnsi="仿宋" w:eastAsia="仿宋" w:cs="宋体"/>
                <w:color w:val="auto"/>
                <w:sz w:val="24"/>
                <w:szCs w:val="24"/>
              </w:rPr>
              <w:t>人提供原件予以核查的权利；评审过程中如发现填报不实，本项不得分；合同履行过程中发现本项有虚假者，取消其成交资格，并追究相应的法律责任和进行相应的赔偿；合同须体现时间、金额、签章页]</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25</w:t>
            </w:r>
          </w:p>
        </w:tc>
      </w:tr>
    </w:tbl>
    <w:p>
      <w:pPr>
        <w:tabs>
          <w:tab w:val="left" w:pos="900"/>
        </w:tabs>
        <w:adjustRightInd w:val="0"/>
        <w:spacing w:line="360" w:lineRule="auto"/>
        <w:rPr>
          <w:rFonts w:ascii="宋体" w:hAnsi="宋体"/>
          <w:color w:val="auto"/>
        </w:rPr>
      </w:pPr>
      <w:r>
        <w:rPr>
          <w:rFonts w:hint="eastAsia" w:ascii="宋体" w:hAnsi="宋体"/>
          <w:color w:val="auto"/>
        </w:rPr>
        <w:t>三、报价部分评分（满分100分，权重20%）：</w:t>
      </w:r>
    </w:p>
    <w:tbl>
      <w:tblPr>
        <w:tblStyle w:val="13"/>
        <w:tblW w:w="951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622"/>
        <w:gridCol w:w="898"/>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olor w:val="auto"/>
              </w:rPr>
            </w:pPr>
            <w:r>
              <w:rPr>
                <w:rFonts w:hint="eastAsia" w:ascii="宋体" w:hAnsi="宋体"/>
                <w:color w:val="auto"/>
              </w:rPr>
              <w:t>三</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olor w:val="auto"/>
              </w:rPr>
            </w:pPr>
            <w:r>
              <w:rPr>
                <w:rFonts w:hint="eastAsia" w:ascii="宋体" w:hAnsi="宋体"/>
                <w:color w:val="auto"/>
              </w:rPr>
              <w:t xml:space="preserve">报价部分评分 </w:t>
            </w:r>
          </w:p>
        </w:tc>
        <w:tc>
          <w:tcPr>
            <w:tcW w:w="89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olor w:val="auto"/>
              </w:rPr>
            </w:pPr>
            <w:r>
              <w:rPr>
                <w:rFonts w:hint="eastAsia" w:ascii="宋体" w:hAnsi="宋体"/>
                <w:color w:val="auto"/>
              </w:rPr>
              <w:t>20分</w:t>
            </w:r>
          </w:p>
        </w:tc>
        <w:tc>
          <w:tcPr>
            <w:tcW w:w="59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olor w:val="auto"/>
              </w:rPr>
            </w:pPr>
            <w:r>
              <w:rPr>
                <w:rFonts w:hint="eastAsia" w:ascii="宋体" w:hAnsi="宋体"/>
                <w:color w:val="auto"/>
              </w:rPr>
              <w:t>按合同包对各投标人的报价进行数字校核，称为报价评标价。</w:t>
            </w:r>
          </w:p>
          <w:p>
            <w:pPr>
              <w:spacing w:line="480" w:lineRule="exact"/>
              <w:ind w:firstLine="420" w:firstLineChars="200"/>
              <w:rPr>
                <w:rFonts w:ascii="宋体" w:hAnsi="宋体"/>
                <w:color w:val="auto"/>
              </w:rPr>
            </w:pPr>
            <w:r>
              <w:rPr>
                <w:rFonts w:hint="eastAsia" w:ascii="宋体" w:hAnsi="宋体"/>
                <w:color w:val="auto"/>
              </w:rPr>
              <w:t>各投标人的价格得分按以下方式得出</w:t>
            </w:r>
          </w:p>
          <w:p>
            <w:pPr>
              <w:spacing w:line="480" w:lineRule="exact"/>
              <w:ind w:firstLine="420" w:firstLineChars="200"/>
              <w:rPr>
                <w:rFonts w:ascii="宋体" w:hAnsi="宋体"/>
                <w:color w:val="auto"/>
              </w:rPr>
            </w:pPr>
            <w:r>
              <w:rPr>
                <w:rFonts w:hint="eastAsia" w:ascii="宋体" w:hAnsi="宋体"/>
                <w:color w:val="auto"/>
              </w:rPr>
              <w:t>C=(H/Hn)×Q×100</w:t>
            </w:r>
          </w:p>
          <w:p>
            <w:pPr>
              <w:spacing w:line="480" w:lineRule="exact"/>
              <w:ind w:firstLine="420" w:firstLineChars="200"/>
              <w:rPr>
                <w:rFonts w:ascii="宋体" w:hAnsi="宋体"/>
                <w:color w:val="auto"/>
              </w:rPr>
            </w:pPr>
            <w:r>
              <w:rPr>
                <w:rFonts w:hint="eastAsia" w:ascii="宋体" w:hAnsi="宋体"/>
                <w:color w:val="auto"/>
              </w:rPr>
              <w:t>C： 投标人报价得分</w:t>
            </w:r>
          </w:p>
          <w:p>
            <w:pPr>
              <w:spacing w:line="480" w:lineRule="exact"/>
              <w:ind w:firstLine="420" w:firstLineChars="200"/>
              <w:rPr>
                <w:rFonts w:ascii="宋体" w:hAnsi="宋体"/>
                <w:color w:val="auto"/>
              </w:rPr>
            </w:pPr>
            <w:r>
              <w:rPr>
                <w:rFonts w:hint="eastAsia" w:ascii="宋体" w:hAnsi="宋体"/>
                <w:color w:val="auto"/>
              </w:rPr>
              <w:t>Hn：各投标人报价即报价评标价</w:t>
            </w:r>
          </w:p>
          <w:p>
            <w:pPr>
              <w:spacing w:line="480" w:lineRule="exact"/>
              <w:ind w:firstLine="420" w:firstLineChars="200"/>
              <w:rPr>
                <w:rFonts w:ascii="宋体" w:hAnsi="宋体"/>
                <w:color w:val="auto"/>
              </w:rPr>
            </w:pPr>
            <w:r>
              <w:rPr>
                <w:rFonts w:hint="eastAsia" w:ascii="宋体" w:hAnsi="宋体"/>
                <w:color w:val="auto"/>
              </w:rPr>
              <w:t>H：评标基准价即满足招标文件要求的最低报价</w:t>
            </w:r>
          </w:p>
          <w:p>
            <w:pPr>
              <w:spacing w:line="480" w:lineRule="exact"/>
              <w:ind w:firstLine="420" w:firstLineChars="200"/>
              <w:rPr>
                <w:rFonts w:ascii="宋体" w:hAnsi="宋体"/>
                <w:color w:val="auto"/>
              </w:rPr>
            </w:pPr>
            <w:r>
              <w:rPr>
                <w:rFonts w:hint="eastAsia" w:ascii="宋体" w:hAnsi="宋体"/>
                <w:color w:val="auto"/>
              </w:rPr>
              <w:t>Q：价格权值：Q=20%</w:t>
            </w:r>
          </w:p>
          <w:p>
            <w:pPr>
              <w:pStyle w:val="2"/>
              <w:ind w:firstLine="0" w:firstLineChars="0"/>
              <w:rPr>
                <w:rFonts w:ascii="Arial" w:hAnsi="Arial" w:cs="Arial"/>
                <w:color w:val="auto"/>
                <w:szCs w:val="21"/>
              </w:rPr>
            </w:pPr>
            <w:r>
              <w:rPr>
                <w:rFonts w:hint="eastAsia" w:ascii="宋体"/>
                <w:color w:val="auto"/>
                <w:szCs w:val="21"/>
              </w:rPr>
              <w:t>计算分数时四舍五入取小数点后两位。</w:t>
            </w:r>
          </w:p>
        </w:tc>
      </w:tr>
    </w:tbl>
    <w:p>
      <w:pPr>
        <w:pStyle w:val="2"/>
        <w:ind w:firstLine="0" w:firstLineChars="0"/>
        <w:rPr>
          <w:color w:val="auto"/>
        </w:rPr>
      </w:pPr>
    </w:p>
    <w:p>
      <w:pPr>
        <w:tabs>
          <w:tab w:val="left" w:pos="900"/>
        </w:tabs>
        <w:adjustRightInd w:val="0"/>
        <w:spacing w:line="360" w:lineRule="auto"/>
        <w:ind w:firstLine="480" w:firstLineChars="200"/>
        <w:jc w:val="left"/>
        <w:rPr>
          <w:rFonts w:ascii="仿宋" w:hAnsi="仿宋" w:eastAsia="仿宋" w:cs="宋体"/>
          <w:color w:val="auto"/>
          <w:sz w:val="24"/>
        </w:rPr>
      </w:pPr>
      <w:r>
        <w:rPr>
          <w:rFonts w:hint="eastAsia" w:ascii="仿宋" w:hAnsi="仿宋" w:eastAsia="仿宋" w:cs="宋体"/>
          <w:color w:val="auto"/>
          <w:sz w:val="24"/>
        </w:rPr>
        <w:t>三、商务条件</w:t>
      </w:r>
    </w:p>
    <w:p>
      <w:pPr>
        <w:tabs>
          <w:tab w:val="left" w:pos="900"/>
        </w:tabs>
        <w:adjustRightInd w:val="0"/>
        <w:spacing w:line="360" w:lineRule="auto"/>
        <w:ind w:firstLine="480" w:firstLineChars="200"/>
        <w:jc w:val="left"/>
        <w:rPr>
          <w:rFonts w:ascii="仿宋" w:hAnsi="仿宋" w:eastAsia="仿宋" w:cs="宋体"/>
          <w:color w:val="auto"/>
          <w:sz w:val="24"/>
        </w:rPr>
      </w:pPr>
      <w:r>
        <w:rPr>
          <w:rFonts w:hint="eastAsia" w:ascii="仿宋" w:hAnsi="仿宋" w:eastAsia="仿宋" w:cs="宋体"/>
          <w:color w:val="auto"/>
          <w:sz w:val="24"/>
        </w:rPr>
        <w:t>1.交货地点：</w:t>
      </w:r>
    </w:p>
    <w:p>
      <w:pPr>
        <w:tabs>
          <w:tab w:val="left" w:pos="900"/>
        </w:tabs>
        <w:adjustRightInd w:val="0"/>
        <w:spacing w:line="360" w:lineRule="auto"/>
        <w:ind w:firstLine="480" w:firstLineChars="200"/>
        <w:jc w:val="left"/>
        <w:rPr>
          <w:rFonts w:ascii="仿宋" w:hAnsi="仿宋" w:eastAsia="仿宋" w:cs="宋体"/>
          <w:color w:val="auto"/>
          <w:sz w:val="24"/>
        </w:rPr>
      </w:pPr>
      <w:r>
        <w:rPr>
          <w:rFonts w:hint="eastAsia" w:ascii="仿宋" w:hAnsi="仿宋" w:eastAsia="仿宋" w:cs="宋体"/>
          <w:color w:val="auto"/>
          <w:sz w:val="24"/>
        </w:rPr>
        <w:t>全部设备运送到福建理工大学旗山校区北区。</w:t>
      </w:r>
    </w:p>
    <w:p>
      <w:pPr>
        <w:tabs>
          <w:tab w:val="left" w:pos="900"/>
        </w:tabs>
        <w:adjustRightInd w:val="0"/>
        <w:spacing w:line="360" w:lineRule="auto"/>
        <w:ind w:firstLine="480" w:firstLineChars="200"/>
        <w:jc w:val="left"/>
        <w:rPr>
          <w:rFonts w:ascii="仿宋" w:hAnsi="仿宋" w:eastAsia="仿宋" w:cs="宋体"/>
          <w:color w:val="auto"/>
          <w:sz w:val="24"/>
        </w:rPr>
      </w:pPr>
      <w:r>
        <w:rPr>
          <w:rFonts w:hint="eastAsia" w:ascii="仿宋" w:hAnsi="仿宋" w:eastAsia="仿宋" w:cs="宋体"/>
          <w:color w:val="auto"/>
          <w:sz w:val="24"/>
        </w:rPr>
        <w:t>2.交货时间：</w:t>
      </w:r>
    </w:p>
    <w:p>
      <w:pPr>
        <w:tabs>
          <w:tab w:val="left" w:pos="900"/>
        </w:tabs>
        <w:adjustRightInd w:val="0"/>
        <w:spacing w:line="360" w:lineRule="auto"/>
        <w:ind w:firstLine="480" w:firstLineChars="200"/>
        <w:jc w:val="left"/>
        <w:rPr>
          <w:rFonts w:ascii="仿宋" w:hAnsi="仿宋" w:eastAsia="仿宋" w:cs="宋体"/>
          <w:color w:val="auto"/>
          <w:sz w:val="24"/>
        </w:rPr>
      </w:pPr>
      <w:r>
        <w:rPr>
          <w:rFonts w:hint="eastAsia" w:ascii="仿宋" w:hAnsi="仿宋" w:eastAsia="仿宋" w:cs="宋体"/>
          <w:color w:val="auto"/>
          <w:sz w:val="24"/>
        </w:rPr>
        <w:t>中标人应保证中标后七日内交货，并在2023年8月25日前安装及调试完成。</w:t>
      </w:r>
    </w:p>
    <w:p>
      <w:pPr>
        <w:tabs>
          <w:tab w:val="left" w:pos="900"/>
        </w:tabs>
        <w:adjustRightInd w:val="0"/>
        <w:spacing w:line="360" w:lineRule="auto"/>
        <w:ind w:left="420" w:leftChars="200" w:firstLine="120" w:firstLineChars="50"/>
        <w:rPr>
          <w:rFonts w:ascii="仿宋" w:hAnsi="仿宋" w:eastAsia="仿宋" w:cs="宋体"/>
          <w:color w:val="auto"/>
          <w:sz w:val="24"/>
        </w:rPr>
      </w:pPr>
      <w:r>
        <w:rPr>
          <w:rFonts w:hint="eastAsia" w:ascii="仿宋" w:hAnsi="仿宋" w:eastAsia="仿宋" w:cs="宋体"/>
          <w:color w:val="auto"/>
          <w:sz w:val="24"/>
        </w:rPr>
        <w:t>3.支付方式：</w:t>
      </w:r>
    </w:p>
    <w:p>
      <w:pPr>
        <w:tabs>
          <w:tab w:val="left" w:pos="900"/>
        </w:tabs>
        <w:adjustRightInd w:val="0"/>
        <w:spacing w:line="360" w:lineRule="auto"/>
        <w:ind w:firstLine="360" w:firstLineChars="150"/>
        <w:jc w:val="left"/>
        <w:rPr>
          <w:rFonts w:ascii="仿宋" w:hAnsi="仿宋" w:eastAsia="仿宋" w:cs="宋体"/>
          <w:color w:val="auto"/>
          <w:sz w:val="24"/>
          <w:highlight w:val="none"/>
        </w:rPr>
      </w:pPr>
      <w:r>
        <w:rPr>
          <w:rFonts w:hint="eastAsia" w:ascii="仿宋" w:hAnsi="仿宋" w:eastAsia="仿宋" w:cs="宋体"/>
          <w:color w:val="auto"/>
          <w:sz w:val="24"/>
          <w:highlight w:val="none"/>
        </w:rPr>
        <w:t>全部设备中标人包安装调试，所有费用由中标人承担，按照调试完毕且最终验收合格后，在3个工作日内中标人向采购人出具下列单证和文件，采购人收到发票后</w:t>
      </w:r>
      <w:r>
        <w:rPr>
          <w:rFonts w:ascii="仿宋" w:hAnsi="仿宋" w:eastAsia="仿宋" w:cs="宋体"/>
          <w:color w:val="auto"/>
          <w:sz w:val="24"/>
          <w:highlight w:val="none"/>
        </w:rPr>
        <w:t>30</w:t>
      </w:r>
      <w:r>
        <w:rPr>
          <w:rFonts w:hint="eastAsia" w:ascii="仿宋" w:hAnsi="仿宋" w:eastAsia="仿宋" w:cs="宋体"/>
          <w:color w:val="auto"/>
          <w:sz w:val="24"/>
          <w:highlight w:val="none"/>
        </w:rPr>
        <w:t>日内支付100%的合同款。中标人提供增值税普通发票。支付全部合同货款；中标人应提交以下单证和文件：</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①金额为有关合同货物价格的全额正式发票；</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②采购人的验收合格凭证。</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四、售后服务要求</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1.投标人可视自身能力，在投标文件中提供更优、更合理的维修服务承诺。</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2.投标人投标的设备必须达到《建筑防火及消防设施检测技术规范》和《建筑消防技术规范》标准。</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3.若成交人提供的设备不能达到采购文件要求，采购方将给予退货，一切损失由成交人负责。</w:t>
      </w:r>
    </w:p>
    <w:p>
      <w:pPr>
        <w:tabs>
          <w:tab w:val="left" w:pos="900"/>
        </w:tabs>
        <w:adjustRightInd w:val="0"/>
        <w:spacing w:line="360" w:lineRule="auto"/>
        <w:ind w:firstLine="480" w:firstLineChars="200"/>
        <w:rPr>
          <w:rFonts w:ascii="仿宋" w:hAnsi="仿宋" w:eastAsia="仿宋" w:cs="宋体"/>
          <w:color w:val="auto"/>
          <w:sz w:val="24"/>
        </w:rPr>
      </w:pPr>
      <w:bookmarkStart w:id="1" w:name="_Toc25543"/>
      <w:bookmarkStart w:id="2" w:name="_Toc443399376"/>
      <w:bookmarkStart w:id="3" w:name="_Toc518074815"/>
      <w:r>
        <w:rPr>
          <w:rFonts w:hint="eastAsia" w:ascii="仿宋" w:hAnsi="仿宋" w:eastAsia="仿宋" w:cs="宋体"/>
          <w:color w:val="auto"/>
          <w:sz w:val="24"/>
        </w:rPr>
        <w:t>五、违约责任</w:t>
      </w:r>
      <w:bookmarkEnd w:id="1"/>
      <w:bookmarkEnd w:id="2"/>
      <w:bookmarkEnd w:id="3"/>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1.因成交人原因造成采购供货合同无法按时签订，视为成交人违约，成交人违约对采购人造成的损失的，需另行支付相应的赔偿。</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2.在签定采购供货合同之后，成交人要求解除合同的，视为成交人违约，对采购人造成的损失的，成交人需支付相应的赔偿。</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3.成交人必须按采购文件规定的时间交货并安装完成并交付使用，因成交人的原因不能按时交货，工期每延误一日即扣除中标金额的1%赔偿采购人的损失。</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六、其他事项</w:t>
      </w:r>
    </w:p>
    <w:p>
      <w:pPr>
        <w:tabs>
          <w:tab w:val="left" w:pos="900"/>
        </w:tabs>
        <w:adjustRightIn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若出现有关法律、法规和规章有强制性规定但采购文件未列明的情形，则投标人应按照有关法律、法规和规章强制性规定执行。</w:t>
      </w: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jc w:val="center"/>
        <w:rPr>
          <w:rFonts w:cs="宋体" w:asciiTheme="majorEastAsia" w:hAnsiTheme="majorEastAsia" w:eastAsiaTheme="majorEastAsia"/>
          <w:b/>
          <w:color w:val="auto"/>
          <w:sz w:val="52"/>
          <w:szCs w:val="52"/>
        </w:rPr>
      </w:pPr>
      <w:r>
        <w:rPr>
          <w:rFonts w:hint="eastAsia" w:cs="宋体" w:asciiTheme="majorEastAsia" w:hAnsiTheme="majorEastAsia" w:eastAsiaTheme="majorEastAsia"/>
          <w:b/>
          <w:color w:val="auto"/>
          <w:sz w:val="52"/>
          <w:szCs w:val="52"/>
        </w:rPr>
        <w:t>福建理工大学2023年信息化建设与管理中心机房气体灭火装置更换及安装项目</w:t>
      </w:r>
    </w:p>
    <w:p>
      <w:pPr>
        <w:ind w:firstLine="2610" w:firstLineChars="500"/>
        <w:rPr>
          <w:rFonts w:ascii="宋体" w:hAnsi="宋体"/>
          <w:b/>
          <w:color w:val="auto"/>
          <w:sz w:val="52"/>
          <w:szCs w:val="52"/>
        </w:rPr>
      </w:pPr>
      <w:r>
        <w:rPr>
          <w:rFonts w:hint="eastAsia" w:ascii="宋体" w:hAnsi="宋体"/>
          <w:b/>
          <w:color w:val="auto"/>
          <w:sz w:val="52"/>
          <w:szCs w:val="52"/>
        </w:rPr>
        <w:t>响 应 文 件</w:t>
      </w:r>
    </w:p>
    <w:p>
      <w:pPr>
        <w:jc w:val="center"/>
        <w:rPr>
          <w:rFonts w:ascii="宋体" w:hAnsi="宋体"/>
          <w:b/>
          <w:color w:val="auto"/>
          <w:sz w:val="72"/>
        </w:rPr>
      </w:pPr>
    </w:p>
    <w:p>
      <w:pPr>
        <w:ind w:left="945" w:leftChars="450" w:firstLine="1"/>
        <w:rPr>
          <w:rFonts w:cs="宋体" w:asciiTheme="minorEastAsia" w:hAnsiTheme="minorEastAsia" w:eastAsiaTheme="minorEastAsia"/>
          <w:b/>
          <w:color w:val="auto"/>
          <w:sz w:val="30"/>
          <w:szCs w:val="30"/>
        </w:rPr>
      </w:pPr>
      <w:r>
        <w:rPr>
          <w:rFonts w:hint="eastAsia" w:ascii="宋体" w:hAnsi="宋体"/>
          <w:b/>
          <w:color w:val="auto"/>
          <w:sz w:val="30"/>
          <w:szCs w:val="30"/>
        </w:rPr>
        <w:t>项 目 名 称：</w:t>
      </w:r>
      <w:r>
        <w:rPr>
          <w:rFonts w:hint="eastAsia" w:cs="宋体" w:asciiTheme="minorEastAsia" w:hAnsiTheme="minorEastAsia" w:eastAsiaTheme="minorEastAsia"/>
          <w:b/>
          <w:color w:val="auto"/>
          <w:sz w:val="30"/>
          <w:szCs w:val="30"/>
        </w:rPr>
        <w:t>福建理工大学2023年信息化建设与管理中心机房气体灭火装置更换及安装项目</w:t>
      </w:r>
    </w:p>
    <w:p>
      <w:pPr>
        <w:ind w:left="945" w:leftChars="450" w:firstLine="1"/>
        <w:rPr>
          <w:rFonts w:ascii="宋体" w:hAnsi="宋体"/>
          <w:b/>
          <w:color w:val="auto"/>
          <w:sz w:val="30"/>
          <w:szCs w:val="30"/>
          <w:u w:val="single"/>
        </w:rPr>
      </w:pPr>
      <w:r>
        <w:rPr>
          <w:rFonts w:hint="eastAsia" w:asciiTheme="minorEastAsia" w:hAnsiTheme="minorEastAsia" w:eastAsiaTheme="minorEastAsia"/>
          <w:b/>
          <w:color w:val="auto"/>
          <w:sz w:val="30"/>
          <w:szCs w:val="30"/>
        </w:rPr>
        <w:t>招 标   编 号：</w:t>
      </w:r>
      <w:r>
        <w:rPr>
          <w:rFonts w:ascii="宋体" w:hAnsi="宋体"/>
          <w:b/>
          <w:color w:val="auto"/>
          <w:sz w:val="30"/>
          <w:szCs w:val="30"/>
          <w:u w:val="single"/>
        </w:rPr>
        <w:t xml:space="preserve"> </w:t>
      </w:r>
      <w:r>
        <w:rPr>
          <w:rFonts w:hint="eastAsia" w:ascii="宋体" w:hAnsi="宋体"/>
          <w:b/>
          <w:color w:val="auto"/>
          <w:sz w:val="30"/>
          <w:szCs w:val="30"/>
          <w:u w:val="single"/>
        </w:rPr>
        <w:t xml:space="preserve">ZX2023036                    </w:t>
      </w:r>
    </w:p>
    <w:p>
      <w:pPr>
        <w:ind w:firstLine="904" w:firstLineChars="300"/>
        <w:rPr>
          <w:rFonts w:ascii="宋体" w:hAnsi="宋体"/>
          <w:b/>
          <w:color w:val="auto"/>
          <w:sz w:val="30"/>
          <w:szCs w:val="30"/>
        </w:rPr>
      </w:pPr>
      <w:r>
        <w:rPr>
          <w:rFonts w:hint="eastAsia" w:ascii="宋体" w:hAnsi="宋体"/>
          <w:b/>
          <w:color w:val="auto"/>
          <w:sz w:val="30"/>
          <w:szCs w:val="30"/>
        </w:rPr>
        <w:t xml:space="preserve">合   同  包: </w:t>
      </w:r>
      <w:r>
        <w:rPr>
          <w:rFonts w:hint="eastAsia" w:ascii="宋体" w:hAnsi="宋体"/>
          <w:b/>
          <w:color w:val="auto"/>
          <w:sz w:val="30"/>
          <w:szCs w:val="30"/>
          <w:u w:val="single"/>
        </w:rPr>
        <w:t xml:space="preserve">                1                  </w:t>
      </w:r>
    </w:p>
    <w:p>
      <w:pPr>
        <w:rPr>
          <w:rFonts w:ascii="宋体" w:hAnsi="宋体"/>
          <w:b/>
          <w:color w:val="auto"/>
          <w:sz w:val="32"/>
          <w:szCs w:val="32"/>
        </w:rPr>
      </w:pPr>
    </w:p>
    <w:p>
      <w:pPr>
        <w:rPr>
          <w:rFonts w:ascii="宋体" w:hAnsi="宋体"/>
          <w:b/>
          <w:color w:val="auto"/>
          <w:sz w:val="36"/>
        </w:rPr>
      </w:pPr>
    </w:p>
    <w:p>
      <w:pPr>
        <w:rPr>
          <w:rFonts w:ascii="宋体" w:hAnsi="宋体"/>
          <w:b/>
          <w:color w:val="auto"/>
          <w:sz w:val="32"/>
          <w:szCs w:val="32"/>
          <w:u w:val="single"/>
        </w:rPr>
      </w:pPr>
      <w:r>
        <w:rPr>
          <w:rFonts w:hint="eastAsia" w:ascii="宋体" w:hAnsi="宋体"/>
          <w:b/>
          <w:color w:val="auto"/>
          <w:sz w:val="36"/>
        </w:rPr>
        <w:t xml:space="preserve">     </w:t>
      </w:r>
      <w:r>
        <w:rPr>
          <w:rFonts w:hint="eastAsia" w:ascii="宋体" w:hAnsi="宋体"/>
          <w:b/>
          <w:color w:val="auto"/>
          <w:sz w:val="32"/>
          <w:szCs w:val="32"/>
        </w:rPr>
        <w:t>报价供应商名称 ：</w:t>
      </w:r>
      <w:r>
        <w:rPr>
          <w:rFonts w:hint="eastAsia" w:ascii="宋体" w:hAnsi="宋体"/>
          <w:b/>
          <w:color w:val="auto"/>
          <w:sz w:val="32"/>
          <w:szCs w:val="32"/>
          <w:u w:val="single"/>
        </w:rPr>
        <w:t xml:space="preserve"> （加盖公章）                </w:t>
      </w:r>
    </w:p>
    <w:p>
      <w:pPr>
        <w:rPr>
          <w:rFonts w:ascii="宋体" w:hAnsi="宋体"/>
          <w:b/>
          <w:color w:val="auto"/>
          <w:sz w:val="32"/>
          <w:szCs w:val="32"/>
        </w:rPr>
      </w:pPr>
      <w:r>
        <w:rPr>
          <w:rFonts w:hint="eastAsia" w:ascii="宋体" w:hAnsi="宋体"/>
          <w:b/>
          <w:color w:val="auto"/>
          <w:sz w:val="32"/>
          <w:szCs w:val="32"/>
        </w:rPr>
        <w:t xml:space="preserve">      日      期 ：</w:t>
      </w:r>
      <w:r>
        <w:rPr>
          <w:rFonts w:hint="eastAsia" w:ascii="宋体" w:hAnsi="宋体"/>
          <w:b/>
          <w:color w:val="auto"/>
          <w:sz w:val="32"/>
          <w:szCs w:val="32"/>
          <w:u w:val="single"/>
        </w:rPr>
        <w:t xml:space="preserve">                                </w:t>
      </w:r>
    </w:p>
    <w:p>
      <w:pPr>
        <w:ind w:firstLine="948" w:firstLineChars="295"/>
        <w:rPr>
          <w:rFonts w:ascii="宋体" w:hAnsi="宋体"/>
          <w:b/>
          <w:color w:val="auto"/>
          <w:sz w:val="32"/>
          <w:szCs w:val="32"/>
        </w:rPr>
      </w:pPr>
      <w:r>
        <w:rPr>
          <w:rFonts w:hint="eastAsia" w:ascii="宋体" w:hAnsi="宋体"/>
          <w:b/>
          <w:color w:val="auto"/>
          <w:sz w:val="32"/>
          <w:szCs w:val="32"/>
        </w:rPr>
        <w:t>联   系  人：</w:t>
      </w:r>
      <w:r>
        <w:rPr>
          <w:rFonts w:hint="eastAsia" w:ascii="宋体" w:hAnsi="宋体"/>
          <w:b/>
          <w:color w:val="auto"/>
          <w:sz w:val="32"/>
          <w:szCs w:val="32"/>
          <w:u w:val="single"/>
        </w:rPr>
        <w:t xml:space="preserve">                                </w:t>
      </w:r>
    </w:p>
    <w:p>
      <w:pPr>
        <w:rPr>
          <w:rFonts w:ascii="宋体" w:hAnsi="宋体"/>
          <w:b/>
          <w:color w:val="auto"/>
          <w:sz w:val="32"/>
          <w:szCs w:val="32"/>
          <w:u w:val="single"/>
        </w:rPr>
      </w:pPr>
      <w:r>
        <w:rPr>
          <w:rFonts w:hint="eastAsia" w:ascii="宋体" w:hAnsi="宋体"/>
          <w:b/>
          <w:color w:val="auto"/>
          <w:sz w:val="32"/>
          <w:szCs w:val="32"/>
        </w:rPr>
        <w:t xml:space="preserve">      联 系 电 话：</w:t>
      </w:r>
      <w:r>
        <w:rPr>
          <w:rFonts w:hint="eastAsia" w:ascii="宋体" w:hAnsi="宋体"/>
          <w:b/>
          <w:color w:val="auto"/>
          <w:sz w:val="32"/>
          <w:szCs w:val="32"/>
          <w:u w:val="single"/>
        </w:rPr>
        <w:t xml:space="preserve">                                </w:t>
      </w:r>
    </w:p>
    <w:p>
      <w:pPr>
        <w:ind w:firstLine="948" w:firstLineChars="295"/>
        <w:rPr>
          <w:rFonts w:ascii="宋体" w:hAnsi="宋体"/>
          <w:b/>
          <w:color w:val="auto"/>
          <w:sz w:val="36"/>
          <w:u w:val="single"/>
        </w:rPr>
      </w:pPr>
      <w:r>
        <w:rPr>
          <w:rFonts w:hint="eastAsia" w:ascii="宋体" w:hAnsi="宋体"/>
          <w:b/>
          <w:color w:val="auto"/>
          <w:sz w:val="32"/>
          <w:szCs w:val="32"/>
        </w:rPr>
        <w:t>联 系 地 址：</w:t>
      </w:r>
      <w:r>
        <w:rPr>
          <w:rFonts w:hint="eastAsia" w:ascii="宋体" w:hAnsi="宋体"/>
          <w:b/>
          <w:color w:val="auto"/>
          <w:sz w:val="32"/>
          <w:szCs w:val="32"/>
          <w:u w:val="single"/>
        </w:rPr>
        <w:t xml:space="preserve">                                </w:t>
      </w:r>
    </w:p>
    <w:p>
      <w:pPr>
        <w:spacing w:line="520" w:lineRule="exact"/>
        <w:ind w:firstLine="723" w:firstLineChars="200"/>
        <w:jc w:val="center"/>
        <w:rPr>
          <w:rFonts w:ascii="宋体" w:hAnsi="宋体"/>
          <w:b/>
          <w:bCs/>
          <w:color w:val="auto"/>
          <w:sz w:val="36"/>
          <w:szCs w:val="36"/>
        </w:rPr>
      </w:pPr>
      <w:r>
        <w:rPr>
          <w:rFonts w:ascii="宋体" w:hAnsi="宋体"/>
          <w:b/>
          <w:bCs/>
          <w:color w:val="auto"/>
          <w:sz w:val="36"/>
          <w:szCs w:val="36"/>
        </w:rPr>
        <w:br w:type="page"/>
      </w:r>
    </w:p>
    <w:p>
      <w:pPr>
        <w:spacing w:line="520" w:lineRule="exact"/>
        <w:ind w:firstLine="723" w:firstLineChars="200"/>
        <w:jc w:val="center"/>
        <w:rPr>
          <w:rFonts w:ascii="宋体" w:hAnsi="宋体"/>
          <w:b/>
          <w:color w:val="auto"/>
          <w:sz w:val="36"/>
          <w:szCs w:val="36"/>
        </w:rPr>
      </w:pPr>
      <w:r>
        <w:rPr>
          <w:rFonts w:hint="eastAsia" w:ascii="宋体" w:hAnsi="宋体"/>
          <w:b/>
          <w:color w:val="auto"/>
          <w:sz w:val="36"/>
          <w:szCs w:val="36"/>
        </w:rPr>
        <w:t>目  录</w:t>
      </w:r>
    </w:p>
    <w:p>
      <w:pPr>
        <w:tabs>
          <w:tab w:val="left" w:pos="900"/>
        </w:tabs>
        <w:spacing w:line="520" w:lineRule="exact"/>
        <w:jc w:val="left"/>
        <w:rPr>
          <w:rFonts w:ascii="宋体" w:hAnsi="宋体" w:cs="宋体"/>
          <w:color w:val="auto"/>
          <w:sz w:val="24"/>
        </w:rPr>
      </w:pPr>
    </w:p>
    <w:p>
      <w:pPr>
        <w:tabs>
          <w:tab w:val="left" w:pos="900"/>
        </w:tabs>
        <w:spacing w:line="520" w:lineRule="exact"/>
        <w:ind w:left="54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1、投标函</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2、报价一览表</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3、法定代表人授权书</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4、三证合一营业执照副本复印件</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5、法定代表人身份证复印件</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6、投标代表身份证复印件</w:t>
      </w:r>
    </w:p>
    <w:p>
      <w:pPr>
        <w:tabs>
          <w:tab w:val="left" w:pos="900"/>
        </w:tabs>
        <w:spacing w:line="520" w:lineRule="exact"/>
        <w:ind w:left="540"/>
        <w:jc w:val="left"/>
        <w:rPr>
          <w:rFonts w:asciiTheme="minorEastAsia" w:hAnsiTheme="minorEastAsia" w:eastAsiaTheme="minorEastAsia"/>
          <w:color w:val="auto"/>
          <w:sz w:val="28"/>
          <w:szCs w:val="28"/>
        </w:rPr>
      </w:pPr>
    </w:p>
    <w:p>
      <w:pPr>
        <w:spacing w:line="520" w:lineRule="exact"/>
        <w:ind w:firstLine="482" w:firstLineChars="150"/>
        <w:rPr>
          <w:rFonts w:ascii="宋体" w:hAnsi="宋体"/>
          <w:b/>
          <w:color w:val="auto"/>
          <w:sz w:val="32"/>
          <w:szCs w:val="32"/>
        </w:rPr>
      </w:pPr>
      <w:r>
        <w:rPr>
          <w:rFonts w:hint="eastAsia" w:ascii="宋体" w:hAnsi="宋体"/>
          <w:b/>
          <w:color w:val="auto"/>
          <w:sz w:val="32"/>
          <w:szCs w:val="32"/>
        </w:rPr>
        <w:t>投标人按以上目录制作投标文件(须编写页码）。</w:t>
      </w: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jc w:val="center"/>
        <w:rPr>
          <w:rFonts w:ascii="宋体" w:hAnsi="宋体" w:cs="宋体"/>
          <w:b/>
          <w:color w:val="auto"/>
          <w:sz w:val="32"/>
          <w:szCs w:val="32"/>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r>
        <w:rPr>
          <w:rFonts w:hint="eastAsia" w:ascii="仿宋" w:hAnsi="仿宋" w:eastAsia="仿宋" w:cs="仿宋"/>
          <w:color w:val="auto"/>
        </w:rPr>
        <w:t>附件1：</w:t>
      </w:r>
    </w:p>
    <w:p>
      <w:pPr>
        <w:spacing w:line="400" w:lineRule="atLeast"/>
        <w:rPr>
          <w:rFonts w:ascii="宋体" w:hAnsi="宋体"/>
          <w:b/>
          <w:color w:val="auto"/>
          <w:sz w:val="36"/>
        </w:rPr>
      </w:pPr>
    </w:p>
    <w:p>
      <w:pPr>
        <w:spacing w:line="400" w:lineRule="atLeast"/>
        <w:jc w:val="center"/>
        <w:rPr>
          <w:rFonts w:ascii="宋体" w:hAnsi="宋体"/>
          <w:b/>
          <w:color w:val="auto"/>
          <w:sz w:val="36"/>
        </w:rPr>
      </w:pPr>
      <w:r>
        <w:rPr>
          <w:rFonts w:hint="eastAsia" w:ascii="宋体" w:hAnsi="宋体"/>
          <w:b/>
          <w:color w:val="auto"/>
          <w:sz w:val="36"/>
        </w:rPr>
        <w:t>投  标  函</w:t>
      </w:r>
    </w:p>
    <w:p>
      <w:pPr>
        <w:ind w:firstLine="482" w:firstLineChars="200"/>
        <w:rPr>
          <w:rFonts w:ascii="宋体" w:hAnsi="宋体"/>
          <w:b/>
          <w:color w:val="auto"/>
          <w:sz w:val="24"/>
          <w:szCs w:val="24"/>
          <w:u w:val="single"/>
        </w:rPr>
      </w:pPr>
      <w:r>
        <w:rPr>
          <w:rFonts w:hint="eastAsia" w:cs="宋体" w:asciiTheme="majorEastAsia" w:hAnsiTheme="majorEastAsia" w:eastAsiaTheme="majorEastAsia"/>
          <w:b/>
          <w:color w:val="auto"/>
          <w:sz w:val="24"/>
        </w:rPr>
        <w:t>福建理工大学2023年信息化建设与管理中心机房气体灭火装置更换及安装项目</w:t>
      </w:r>
      <w:r>
        <w:rPr>
          <w:rFonts w:hint="eastAsia" w:ascii="黑体" w:eastAsia="黑体"/>
          <w:color w:val="auto"/>
          <w:sz w:val="24"/>
          <w:szCs w:val="24"/>
        </w:rPr>
        <w:t>（招标编号：ZX2023036 ）</w:t>
      </w:r>
    </w:p>
    <w:p>
      <w:pPr>
        <w:spacing w:line="400" w:lineRule="atLeast"/>
        <w:rPr>
          <w:rFonts w:ascii="宋体" w:hAnsi="宋体"/>
          <w:color w:val="auto"/>
          <w:sz w:val="24"/>
        </w:rPr>
      </w:pPr>
    </w:p>
    <w:p>
      <w:pPr>
        <w:spacing w:line="400" w:lineRule="atLeast"/>
        <w:rPr>
          <w:rFonts w:ascii="宋体" w:hAnsi="宋体"/>
          <w:color w:val="auto"/>
          <w:sz w:val="24"/>
        </w:rPr>
      </w:pPr>
      <w:r>
        <w:rPr>
          <w:rFonts w:hint="eastAsia" w:ascii="宋体" w:hAnsi="宋体"/>
          <w:color w:val="auto"/>
          <w:sz w:val="24"/>
        </w:rPr>
        <w:t>致：福建理工大学：</w:t>
      </w:r>
    </w:p>
    <w:p>
      <w:pPr>
        <w:pStyle w:val="22"/>
        <w:spacing w:line="560" w:lineRule="exact"/>
        <w:ind w:left="-2" w:firstLine="480"/>
        <w:rPr>
          <w:rFonts w:ascii="宋体" w:hAnsi="宋体"/>
          <w:b/>
          <w:color w:val="auto"/>
          <w:sz w:val="24"/>
          <w:szCs w:val="24"/>
        </w:rPr>
      </w:pPr>
      <w:r>
        <w:rPr>
          <w:rFonts w:hint="eastAsia" w:ascii="宋体" w:hAnsi="宋体"/>
          <w:color w:val="auto"/>
          <w:sz w:val="24"/>
          <w:szCs w:val="24"/>
        </w:rPr>
        <w:t>根据贵单位福建理工大学2023年信息化建设与管理中心机房气体灭火装置更换及安装项目  项目</w:t>
      </w:r>
      <w:r>
        <w:rPr>
          <w:rFonts w:hint="eastAsia" w:ascii="宋体" w:hAnsi="宋体"/>
          <w:b/>
          <w:color w:val="auto"/>
          <w:sz w:val="24"/>
          <w:szCs w:val="24"/>
          <w:u w:val="single"/>
        </w:rPr>
        <w:t>（招标编号：ZX2023036 ）</w:t>
      </w:r>
      <w:r>
        <w:rPr>
          <w:rFonts w:hint="eastAsia" w:ascii="宋体" w:hAnsi="宋体"/>
          <w:color w:val="auto"/>
          <w:sz w:val="24"/>
          <w:szCs w:val="24"/>
        </w:rPr>
        <w:t>招标公告，投标代表:           （职务：                ）经正式授权并代表投标单位                 （地址：                   ）提交下述文件正本一份和副本一份。</w:t>
      </w:r>
    </w:p>
    <w:p>
      <w:pPr>
        <w:spacing w:line="400" w:lineRule="atLeast"/>
        <w:rPr>
          <w:rFonts w:ascii="宋体" w:hAnsi="宋体"/>
          <w:color w:val="auto"/>
          <w:sz w:val="24"/>
        </w:rPr>
      </w:pPr>
      <w:r>
        <w:rPr>
          <w:rFonts w:hint="eastAsia" w:ascii="宋体" w:hAnsi="宋体"/>
          <w:color w:val="auto"/>
          <w:sz w:val="24"/>
        </w:rPr>
        <w:t xml:space="preserve">     根据此函，投标代表宣布同意如下：</w:t>
      </w:r>
    </w:p>
    <w:p>
      <w:pPr>
        <w:spacing w:line="400" w:lineRule="atLeast"/>
        <w:rPr>
          <w:rFonts w:ascii="宋体" w:hAnsi="宋体"/>
          <w:color w:val="auto"/>
          <w:sz w:val="24"/>
        </w:rPr>
      </w:pPr>
      <w:r>
        <w:rPr>
          <w:rFonts w:hint="eastAsia" w:ascii="宋体" w:hAnsi="宋体"/>
          <w:color w:val="auto"/>
          <w:sz w:val="24"/>
        </w:rPr>
        <w:t>1．投标单位将按本次采购文件的规定履行合同责任和义务。</w:t>
      </w:r>
    </w:p>
    <w:p>
      <w:pPr>
        <w:spacing w:line="400" w:lineRule="atLeast"/>
        <w:rPr>
          <w:rFonts w:ascii="宋体" w:hAnsi="宋体"/>
          <w:color w:val="auto"/>
          <w:sz w:val="24"/>
        </w:rPr>
      </w:pPr>
      <w:r>
        <w:rPr>
          <w:rFonts w:hint="eastAsia" w:ascii="宋体" w:hAnsi="宋体"/>
          <w:color w:val="auto"/>
          <w:sz w:val="24"/>
        </w:rPr>
        <w:t>2．投标单位已详细审查全部采购文件，包括修改文件以及全部参考资料和有关附件。我们完全理解并同意放弃对这方面有不明及误解的权利。</w:t>
      </w:r>
    </w:p>
    <w:p>
      <w:pPr>
        <w:spacing w:line="400" w:lineRule="atLeast"/>
        <w:rPr>
          <w:rFonts w:ascii="宋体" w:hAnsi="宋体"/>
          <w:color w:val="auto"/>
          <w:sz w:val="24"/>
        </w:rPr>
      </w:pPr>
      <w:r>
        <w:rPr>
          <w:rFonts w:hint="eastAsia" w:ascii="宋体" w:hAnsi="宋体"/>
          <w:color w:val="auto"/>
          <w:sz w:val="24"/>
        </w:rPr>
        <w:t>3．本投标文件自开标日起有效期为30天。</w:t>
      </w:r>
    </w:p>
    <w:p>
      <w:pPr>
        <w:spacing w:line="400" w:lineRule="atLeast"/>
        <w:rPr>
          <w:rFonts w:ascii="宋体" w:hAnsi="宋体"/>
          <w:color w:val="auto"/>
          <w:sz w:val="24"/>
        </w:rPr>
      </w:pPr>
      <w:r>
        <w:rPr>
          <w:rFonts w:hint="eastAsia" w:ascii="宋体" w:hAnsi="宋体"/>
          <w:color w:val="auto"/>
          <w:sz w:val="24"/>
        </w:rPr>
        <w:t>4．中标后若不履行投标文件的内容要求和各项承诺及义务的则视为违约，其中选资格将被取消。</w:t>
      </w:r>
    </w:p>
    <w:p>
      <w:pPr>
        <w:spacing w:line="400" w:lineRule="atLeast"/>
        <w:rPr>
          <w:rFonts w:ascii="宋体" w:hAnsi="宋体"/>
          <w:color w:val="auto"/>
          <w:sz w:val="24"/>
        </w:rPr>
      </w:pPr>
      <w:r>
        <w:rPr>
          <w:rFonts w:hint="eastAsia" w:ascii="宋体" w:hAnsi="宋体"/>
          <w:color w:val="auto"/>
          <w:sz w:val="24"/>
        </w:rPr>
        <w:t>5．投标单位同意提供按照贵单位可能要求的与其报价有关的一切数据或资料，完全理解贵单位不一定要接受最低价的报价。</w:t>
      </w:r>
    </w:p>
    <w:p>
      <w:pPr>
        <w:spacing w:line="400" w:lineRule="atLeast"/>
        <w:rPr>
          <w:rFonts w:ascii="宋体" w:hAnsi="宋体"/>
          <w:color w:val="auto"/>
          <w:sz w:val="24"/>
        </w:rPr>
      </w:pPr>
      <w:r>
        <w:rPr>
          <w:rFonts w:hint="eastAsia" w:ascii="宋体" w:hAnsi="宋体"/>
          <w:color w:val="auto"/>
          <w:sz w:val="24"/>
        </w:rPr>
        <w:t>6．与本投标有关的一切正式往来通讯请寄：</w:t>
      </w:r>
    </w:p>
    <w:p>
      <w:pPr>
        <w:spacing w:line="400" w:lineRule="atLeast"/>
        <w:rPr>
          <w:rFonts w:ascii="宋体" w:hAnsi="宋体"/>
          <w:color w:val="auto"/>
          <w:sz w:val="24"/>
        </w:rPr>
      </w:pPr>
    </w:p>
    <w:p>
      <w:pPr>
        <w:spacing w:line="400" w:lineRule="atLeast"/>
        <w:ind w:left="570"/>
        <w:rPr>
          <w:rFonts w:ascii="宋体" w:hAnsi="宋体"/>
          <w:color w:val="auto"/>
          <w:sz w:val="24"/>
        </w:rPr>
      </w:pPr>
      <w:r>
        <w:rPr>
          <w:rFonts w:hint="eastAsia" w:ascii="宋体" w:hAnsi="宋体"/>
          <w:color w:val="auto"/>
          <w:sz w:val="24"/>
        </w:rPr>
        <w:t>地址：                         邮政编码：</w:t>
      </w:r>
    </w:p>
    <w:p>
      <w:pPr>
        <w:spacing w:line="400" w:lineRule="atLeast"/>
        <w:ind w:left="570"/>
        <w:rPr>
          <w:rFonts w:ascii="宋体" w:hAnsi="宋体"/>
          <w:color w:val="auto"/>
          <w:sz w:val="24"/>
        </w:rPr>
      </w:pPr>
      <w:r>
        <w:rPr>
          <w:rFonts w:hint="eastAsia" w:ascii="宋体" w:hAnsi="宋体"/>
          <w:color w:val="auto"/>
          <w:sz w:val="24"/>
        </w:rPr>
        <w:t>电话：                             传真：</w:t>
      </w:r>
    </w:p>
    <w:p>
      <w:pPr>
        <w:spacing w:line="400" w:lineRule="atLeast"/>
        <w:ind w:left="570"/>
        <w:rPr>
          <w:rFonts w:ascii="宋体" w:hAnsi="宋体"/>
          <w:color w:val="auto"/>
          <w:sz w:val="24"/>
        </w:rPr>
      </w:pPr>
      <w:r>
        <w:rPr>
          <w:rFonts w:hint="eastAsia" w:ascii="宋体" w:hAnsi="宋体"/>
          <w:color w:val="auto"/>
          <w:sz w:val="24"/>
        </w:rPr>
        <w:t>投标代表姓名：                     职务：</w:t>
      </w:r>
    </w:p>
    <w:p>
      <w:pPr>
        <w:spacing w:line="400" w:lineRule="atLeast"/>
        <w:ind w:left="570"/>
        <w:rPr>
          <w:rFonts w:ascii="宋体" w:hAnsi="宋体"/>
          <w:color w:val="auto"/>
          <w:sz w:val="24"/>
        </w:rPr>
      </w:pPr>
      <w:r>
        <w:rPr>
          <w:rFonts w:hint="eastAsia" w:ascii="宋体" w:hAnsi="宋体"/>
          <w:color w:val="auto"/>
          <w:sz w:val="24"/>
        </w:rPr>
        <w:t>投标单位名称（全称并加公章）：</w:t>
      </w:r>
    </w:p>
    <w:p>
      <w:pPr>
        <w:spacing w:line="400" w:lineRule="atLeast"/>
        <w:ind w:left="570"/>
        <w:rPr>
          <w:rFonts w:ascii="宋体" w:hAnsi="宋体"/>
          <w:color w:val="auto"/>
          <w:sz w:val="24"/>
        </w:rPr>
      </w:pPr>
      <w:r>
        <w:rPr>
          <w:rFonts w:hint="eastAsia" w:ascii="宋体" w:hAnsi="宋体"/>
          <w:color w:val="auto"/>
          <w:sz w:val="24"/>
        </w:rPr>
        <w:t>日期：   年  月  日             投标代表签字：</w:t>
      </w:r>
    </w:p>
    <w:p>
      <w:pPr>
        <w:spacing w:line="400" w:lineRule="atLeast"/>
        <w:ind w:left="570"/>
        <w:rPr>
          <w:rFonts w:ascii="宋体" w:hAnsi="宋体"/>
          <w:color w:val="auto"/>
          <w:sz w:val="24"/>
        </w:rPr>
      </w:pPr>
    </w:p>
    <w:p>
      <w:pPr>
        <w:spacing w:line="0" w:lineRule="atLeast"/>
        <w:jc w:val="center"/>
        <w:rPr>
          <w:rFonts w:ascii="宋体" w:hAnsi="宋体"/>
          <w:color w:val="auto"/>
          <w:sz w:val="24"/>
        </w:rPr>
      </w:pPr>
    </w:p>
    <w:p>
      <w:pPr>
        <w:spacing w:line="0" w:lineRule="atLeast"/>
        <w:jc w:val="center"/>
        <w:rPr>
          <w:rFonts w:ascii="宋体" w:hAnsi="宋体"/>
          <w:color w:val="auto"/>
          <w:sz w:val="24"/>
        </w:rPr>
      </w:pPr>
    </w:p>
    <w:p>
      <w:pPr>
        <w:spacing w:line="0" w:lineRule="atLeast"/>
        <w:jc w:val="center"/>
        <w:rPr>
          <w:rFonts w:ascii="宋体" w:hAnsi="宋体"/>
          <w:color w:val="auto"/>
          <w:sz w:val="24"/>
        </w:rPr>
      </w:pPr>
    </w:p>
    <w:p>
      <w:pPr>
        <w:spacing w:line="0" w:lineRule="atLeast"/>
        <w:jc w:val="center"/>
        <w:rPr>
          <w:rFonts w:ascii="宋体" w:hAnsi="宋体"/>
          <w:color w:val="auto"/>
          <w:sz w:val="24"/>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r>
        <w:rPr>
          <w:rFonts w:hint="eastAsia" w:ascii="仿宋" w:hAnsi="仿宋" w:eastAsia="仿宋" w:cs="仿宋"/>
          <w:color w:val="auto"/>
        </w:rPr>
        <w:t>附件2：</w:t>
      </w:r>
    </w:p>
    <w:p>
      <w:pPr>
        <w:pStyle w:val="15"/>
        <w:spacing w:line="276" w:lineRule="auto"/>
        <w:jc w:val="center"/>
        <w:rPr>
          <w:rFonts w:ascii="仿宋" w:hAnsi="仿宋" w:eastAsia="仿宋" w:cs="仿宋"/>
          <w:b/>
          <w:color w:val="auto"/>
          <w:sz w:val="32"/>
          <w:szCs w:val="32"/>
        </w:rPr>
      </w:pPr>
    </w:p>
    <w:p>
      <w:pPr>
        <w:pStyle w:val="15"/>
        <w:spacing w:line="276"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福建理工大学投标报价一览表（最终报价，含分项报价表）</w:t>
      </w:r>
    </w:p>
    <w:p>
      <w:pPr>
        <w:pStyle w:val="15"/>
        <w:spacing w:line="276" w:lineRule="auto"/>
        <w:rPr>
          <w:rFonts w:ascii="仿宋" w:hAnsi="仿宋" w:eastAsia="仿宋" w:cs="仿宋"/>
          <w:color w:val="auto"/>
          <w:sz w:val="24"/>
          <w:szCs w:val="24"/>
        </w:rPr>
      </w:pP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供应商名称：</w:t>
      </w: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供应商地址：</w:t>
      </w: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项目名称：福建理工大学2023年信息化建设与管理中心机房气体灭火装置更换及安装项目</w:t>
      </w: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项目编号：ZX2023036</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合同包</w:t>
            </w:r>
          </w:p>
        </w:tc>
        <w:tc>
          <w:tcPr>
            <w:tcW w:w="709"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数量</w:t>
            </w:r>
          </w:p>
        </w:tc>
        <w:tc>
          <w:tcPr>
            <w:tcW w:w="3543"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报价</w:t>
            </w:r>
          </w:p>
        </w:tc>
        <w:tc>
          <w:tcPr>
            <w:tcW w:w="1418"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付款方式</w:t>
            </w:r>
          </w:p>
        </w:tc>
        <w:tc>
          <w:tcPr>
            <w:tcW w:w="1134"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交货日期</w:t>
            </w:r>
          </w:p>
        </w:tc>
        <w:tc>
          <w:tcPr>
            <w:tcW w:w="759"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9"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709" w:type="dxa"/>
            <w:vAlign w:val="center"/>
          </w:tcPr>
          <w:p>
            <w:pPr>
              <w:pStyle w:val="15"/>
              <w:spacing w:line="276" w:lineRule="auto"/>
              <w:jc w:val="center"/>
              <w:rPr>
                <w:rFonts w:ascii="仿宋" w:hAnsi="仿宋" w:eastAsia="仿宋" w:cs="仿宋"/>
                <w:color w:val="auto"/>
                <w:sz w:val="24"/>
                <w:szCs w:val="24"/>
              </w:rPr>
            </w:pPr>
          </w:p>
        </w:tc>
        <w:tc>
          <w:tcPr>
            <w:tcW w:w="3543" w:type="dxa"/>
            <w:vAlign w:val="center"/>
          </w:tcPr>
          <w:p>
            <w:pPr>
              <w:pStyle w:val="15"/>
              <w:spacing w:line="276" w:lineRule="auto"/>
              <w:ind w:left="240" w:hanging="240" w:hangingChars="100"/>
              <w:jc w:val="center"/>
              <w:rPr>
                <w:rFonts w:ascii="仿宋" w:hAnsi="仿宋" w:eastAsia="仿宋" w:cs="仿宋"/>
                <w:color w:val="auto"/>
                <w:sz w:val="24"/>
                <w:szCs w:val="24"/>
              </w:rPr>
            </w:pPr>
            <w:r>
              <w:rPr>
                <w:rFonts w:hint="eastAsia" w:ascii="仿宋" w:hAnsi="仿宋" w:eastAsia="仿宋" w:cs="仿宋"/>
                <w:color w:val="auto"/>
                <w:sz w:val="24"/>
                <w:szCs w:val="24"/>
              </w:rPr>
              <w:t>大写：  万   仟   佰   元</w:t>
            </w:r>
          </w:p>
          <w:p>
            <w:pPr>
              <w:pStyle w:val="15"/>
              <w:spacing w:line="276" w:lineRule="auto"/>
              <w:ind w:left="240" w:hanging="240" w:hangingChars="100"/>
              <w:jc w:val="center"/>
              <w:rPr>
                <w:rFonts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p>
        </w:tc>
        <w:tc>
          <w:tcPr>
            <w:tcW w:w="1418" w:type="dxa"/>
            <w:vAlign w:val="center"/>
          </w:tcPr>
          <w:p>
            <w:pPr>
              <w:pStyle w:val="15"/>
              <w:spacing w:line="276" w:lineRule="auto"/>
              <w:jc w:val="center"/>
              <w:rPr>
                <w:rFonts w:ascii="仿宋" w:hAnsi="仿宋" w:eastAsia="仿宋" w:cs="仿宋"/>
                <w:color w:val="auto"/>
                <w:sz w:val="24"/>
                <w:szCs w:val="24"/>
              </w:rPr>
            </w:pPr>
          </w:p>
        </w:tc>
        <w:tc>
          <w:tcPr>
            <w:tcW w:w="1134" w:type="dxa"/>
            <w:vAlign w:val="center"/>
          </w:tcPr>
          <w:p>
            <w:pPr>
              <w:pStyle w:val="15"/>
              <w:spacing w:line="276" w:lineRule="auto"/>
              <w:jc w:val="center"/>
              <w:rPr>
                <w:rFonts w:ascii="仿宋" w:hAnsi="仿宋" w:eastAsia="仿宋" w:cs="仿宋"/>
                <w:color w:val="auto"/>
                <w:sz w:val="24"/>
                <w:szCs w:val="24"/>
              </w:rPr>
            </w:pPr>
            <w:r>
              <w:rPr>
                <w:rFonts w:hint="eastAsia" w:ascii="仿宋" w:hAnsi="仿宋" w:eastAsia="仿宋" w:cs="仿宋"/>
                <w:color w:val="auto"/>
                <w:sz w:val="24"/>
                <w:szCs w:val="24"/>
              </w:rPr>
              <w:t>年月日前</w:t>
            </w:r>
          </w:p>
        </w:tc>
        <w:tc>
          <w:tcPr>
            <w:tcW w:w="759" w:type="dxa"/>
            <w:vAlign w:val="center"/>
          </w:tcPr>
          <w:p>
            <w:pPr>
              <w:pStyle w:val="15"/>
              <w:spacing w:line="276" w:lineRule="auto"/>
              <w:jc w:val="center"/>
              <w:rPr>
                <w:rFonts w:ascii="仿宋" w:hAnsi="仿宋" w:eastAsia="仿宋" w:cs="仿宋"/>
                <w:color w:val="auto"/>
                <w:sz w:val="24"/>
                <w:szCs w:val="24"/>
              </w:rPr>
            </w:pPr>
          </w:p>
        </w:tc>
      </w:tr>
    </w:tbl>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说明：1、报价价格不得高于控制价，技术要求、主要参数不得低于招标要求；</w:t>
      </w: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 xml:space="preserve">      2、若是进口产品，报价应为免税价格，并换算成人民币金额报价。</w:t>
      </w:r>
    </w:p>
    <w:p>
      <w:pPr>
        <w:pStyle w:val="15"/>
        <w:spacing w:line="276" w:lineRule="auto"/>
        <w:rPr>
          <w:rFonts w:ascii="仿宋" w:hAnsi="仿宋" w:eastAsia="仿宋" w:cs="仿宋"/>
          <w:color w:val="auto"/>
          <w:sz w:val="24"/>
          <w:szCs w:val="24"/>
        </w:rPr>
      </w:pP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报价人（签字）：</w:t>
      </w: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报价人联系方式：</w:t>
      </w:r>
    </w:p>
    <w:p>
      <w:pPr>
        <w:pStyle w:val="15"/>
        <w:spacing w:line="276" w:lineRule="auto"/>
        <w:rPr>
          <w:rFonts w:ascii="仿宋" w:hAnsi="仿宋" w:eastAsia="仿宋" w:cs="仿宋"/>
          <w:color w:val="auto"/>
          <w:sz w:val="24"/>
          <w:szCs w:val="24"/>
        </w:rPr>
      </w:pPr>
      <w:r>
        <w:rPr>
          <w:rFonts w:hint="eastAsia" w:ascii="仿宋" w:hAnsi="仿宋" w:eastAsia="仿宋" w:cs="仿宋"/>
          <w:color w:val="auto"/>
          <w:sz w:val="24"/>
          <w:szCs w:val="24"/>
        </w:rPr>
        <w:t>报价时间：</w:t>
      </w: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pStyle w:val="15"/>
        <w:spacing w:line="276" w:lineRule="auto"/>
        <w:rPr>
          <w:rFonts w:ascii="仿宋" w:hAnsi="仿宋" w:eastAsia="仿宋" w:cs="仿宋"/>
          <w:color w:val="auto"/>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spacing w:line="380" w:lineRule="atLeast"/>
        <w:jc w:val="center"/>
        <w:rPr>
          <w:rFonts w:ascii="宋体" w:hAnsi="宋体" w:cs="宋体"/>
          <w:b/>
          <w:bCs/>
          <w:color w:val="auto"/>
          <w:sz w:val="36"/>
          <w:szCs w:val="36"/>
        </w:rPr>
      </w:pPr>
    </w:p>
    <w:p>
      <w:pPr>
        <w:rPr>
          <w:color w:val="auto"/>
          <w:sz w:val="28"/>
          <w:szCs w:val="28"/>
        </w:rPr>
      </w:pPr>
      <w:r>
        <w:rPr>
          <w:rFonts w:hint="eastAsia" w:ascii="微软雅黑" w:hAnsi="微软雅黑" w:eastAsia="微软雅黑"/>
          <w:color w:val="auto"/>
          <w:sz w:val="28"/>
          <w:szCs w:val="28"/>
        </w:rPr>
        <w:t>福建理工大学2023年信息化建设与管理中心机房气体灭火装置更换及安装项目</w:t>
      </w:r>
      <w:r>
        <w:rPr>
          <w:rFonts w:hint="eastAsia" w:ascii="微软雅黑" w:hAnsi="微软雅黑" w:eastAsia="微软雅黑"/>
          <w:color w:val="auto"/>
          <w:sz w:val="24"/>
          <w:szCs w:val="24"/>
        </w:rPr>
        <w:t xml:space="preserve"> </w:t>
      </w:r>
    </w:p>
    <w:tbl>
      <w:tblPr>
        <w:tblStyle w:val="13"/>
        <w:tblW w:w="8381" w:type="dxa"/>
        <w:tblInd w:w="-2" w:type="dxa"/>
        <w:tblLayout w:type="fixed"/>
        <w:tblCellMar>
          <w:top w:w="15" w:type="dxa"/>
          <w:left w:w="15" w:type="dxa"/>
          <w:bottom w:w="15" w:type="dxa"/>
          <w:right w:w="15" w:type="dxa"/>
        </w:tblCellMar>
      </w:tblPr>
      <w:tblGrid>
        <w:gridCol w:w="617"/>
        <w:gridCol w:w="2536"/>
        <w:gridCol w:w="1703"/>
        <w:gridCol w:w="1115"/>
        <w:gridCol w:w="42"/>
        <w:gridCol w:w="2327"/>
        <w:gridCol w:w="41"/>
      </w:tblGrid>
      <w:tr>
        <w:tblPrEx>
          <w:tblCellMar>
            <w:top w:w="15" w:type="dxa"/>
            <w:left w:w="15" w:type="dxa"/>
            <w:bottom w:w="15" w:type="dxa"/>
            <w:right w:w="15" w:type="dxa"/>
          </w:tblCellMar>
        </w:tblPrEx>
        <w:trPr>
          <w:gridAfter w:val="1"/>
          <w:wAfter w:w="41" w:type="dxa"/>
          <w:trHeight w:val="624" w:hRule="atLeast"/>
        </w:trPr>
        <w:tc>
          <w:tcPr>
            <w:tcW w:w="8340"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auto"/>
                <w:sz w:val="28"/>
                <w:szCs w:val="28"/>
                <w:shd w:val="clear" w:color="FFFFFF" w:fill="D9D9D9"/>
              </w:rPr>
            </w:pPr>
            <w:r>
              <w:rPr>
                <w:rFonts w:hint="eastAsia" w:ascii="宋体" w:hAnsi="宋体" w:cs="宋体"/>
                <w:b/>
                <w:color w:val="auto"/>
                <w:kern w:val="0"/>
                <w:sz w:val="28"/>
                <w:szCs w:val="28"/>
              </w:rPr>
              <w:t>福建理工大学消防设备清单报价明细表</w:t>
            </w:r>
          </w:p>
        </w:tc>
      </w:tr>
      <w:tr>
        <w:tblPrEx>
          <w:tblCellMar>
            <w:top w:w="15" w:type="dxa"/>
            <w:left w:w="15" w:type="dxa"/>
            <w:bottom w:w="15" w:type="dxa"/>
            <w:right w:w="15" w:type="dxa"/>
          </w:tblCellMar>
        </w:tblPrEx>
        <w:trPr>
          <w:gridAfter w:val="1"/>
          <w:wAfter w:w="41" w:type="dxa"/>
          <w:trHeight w:val="624" w:hRule="atLeast"/>
        </w:trPr>
        <w:tc>
          <w:tcPr>
            <w:tcW w:w="834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auto"/>
                <w:sz w:val="28"/>
                <w:szCs w:val="28"/>
                <w:shd w:val="clear" w:color="FFFFFF" w:fill="D9D9D9"/>
              </w:rPr>
            </w:pPr>
          </w:p>
        </w:tc>
      </w:tr>
      <w:tr>
        <w:tblPrEx>
          <w:tblCellMar>
            <w:top w:w="15" w:type="dxa"/>
            <w:left w:w="15" w:type="dxa"/>
            <w:bottom w:w="15" w:type="dxa"/>
            <w:right w:w="15" w:type="dxa"/>
          </w:tblCellMar>
        </w:tblPrEx>
        <w:trPr>
          <w:gridAfter w:val="1"/>
          <w:wAfter w:w="41" w:type="dxa"/>
          <w:trHeight w:val="624" w:hRule="atLeast"/>
        </w:trPr>
        <w:tc>
          <w:tcPr>
            <w:tcW w:w="834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auto"/>
                <w:sz w:val="28"/>
                <w:szCs w:val="28"/>
                <w:shd w:val="clear" w:color="FFFFFF" w:fill="D9D9D9"/>
              </w:rPr>
            </w:pPr>
          </w:p>
        </w:tc>
      </w:tr>
      <w:tr>
        <w:tblPrEx>
          <w:tblCellMar>
            <w:top w:w="15" w:type="dxa"/>
            <w:left w:w="15" w:type="dxa"/>
            <w:bottom w:w="15" w:type="dxa"/>
            <w:right w:w="15" w:type="dxa"/>
          </w:tblCellMar>
        </w:tblPrEx>
        <w:trPr>
          <w:gridAfter w:val="1"/>
          <w:wAfter w:w="41" w:type="dxa"/>
          <w:trHeight w:val="624" w:hRule="atLeast"/>
        </w:trPr>
        <w:tc>
          <w:tcPr>
            <w:tcW w:w="6013" w:type="dxa"/>
            <w:gridSpan w:val="5"/>
            <w:vMerge w:val="restart"/>
            <w:tcBorders>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color w:val="auto"/>
                <w:sz w:val="28"/>
                <w:szCs w:val="28"/>
              </w:rPr>
            </w:pPr>
            <w:r>
              <w:rPr>
                <w:rFonts w:hint="eastAsia" w:ascii="宋体" w:hAnsi="宋体" w:cs="宋体"/>
                <w:color w:val="auto"/>
                <w:kern w:val="0"/>
                <w:sz w:val="28"/>
                <w:szCs w:val="28"/>
              </w:rPr>
              <w:t>项目名称：灭火装置</w:t>
            </w:r>
          </w:p>
        </w:tc>
        <w:tc>
          <w:tcPr>
            <w:tcW w:w="2327" w:type="dxa"/>
            <w:vMerge w:val="restart"/>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8"/>
                <w:szCs w:val="28"/>
              </w:rPr>
            </w:pPr>
          </w:p>
        </w:tc>
      </w:tr>
      <w:tr>
        <w:tblPrEx>
          <w:tblCellMar>
            <w:top w:w="15" w:type="dxa"/>
            <w:left w:w="15" w:type="dxa"/>
            <w:bottom w:w="15" w:type="dxa"/>
            <w:right w:w="15" w:type="dxa"/>
          </w:tblCellMar>
        </w:tblPrEx>
        <w:trPr>
          <w:gridAfter w:val="1"/>
          <w:wAfter w:w="41" w:type="dxa"/>
          <w:trHeight w:val="624" w:hRule="atLeast"/>
        </w:trPr>
        <w:tc>
          <w:tcPr>
            <w:tcW w:w="6013" w:type="dxa"/>
            <w:gridSpan w:val="5"/>
            <w:vMerge w:val="continue"/>
            <w:tcBorders>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cs="宋体"/>
                <w:color w:val="auto"/>
                <w:sz w:val="28"/>
                <w:szCs w:val="28"/>
              </w:rPr>
            </w:pPr>
          </w:p>
        </w:tc>
        <w:tc>
          <w:tcPr>
            <w:tcW w:w="2327"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8"/>
                <w:szCs w:val="28"/>
              </w:rPr>
            </w:pP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产品名称</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规格型号</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r>
      <w:tr>
        <w:tblPrEx>
          <w:tblCellMar>
            <w:top w:w="0" w:type="dxa"/>
            <w:left w:w="108" w:type="dxa"/>
            <w:bottom w:w="0" w:type="dxa"/>
            <w:right w:w="108" w:type="dxa"/>
          </w:tblCellMar>
        </w:tblPrEx>
        <w:trPr>
          <w:trHeight w:val="462" w:hRule="atLeast"/>
        </w:trPr>
        <w:tc>
          <w:tcPr>
            <w:tcW w:w="61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柜式灭火装置（单瓶）</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GQQ120/2.5WF</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r>
        <w:tblPrEx>
          <w:tblCellMar>
            <w:top w:w="0" w:type="dxa"/>
            <w:left w:w="108" w:type="dxa"/>
            <w:bottom w:w="0" w:type="dxa"/>
            <w:right w:w="108" w:type="dxa"/>
          </w:tblCellMar>
        </w:tblPrEx>
        <w:trPr>
          <w:trHeight w:val="462" w:hRule="atLeast"/>
        </w:trPr>
        <w:tc>
          <w:tcPr>
            <w:tcW w:w="6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七氟丙烷药剂</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HFC-227ea</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KG</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121</w:t>
            </w:r>
          </w:p>
        </w:tc>
      </w:tr>
      <w:tr>
        <w:tblPrEx>
          <w:tblCellMar>
            <w:top w:w="0" w:type="dxa"/>
            <w:left w:w="108" w:type="dxa"/>
            <w:bottom w:w="0" w:type="dxa"/>
            <w:right w:w="108" w:type="dxa"/>
          </w:tblCellMar>
        </w:tblPrEx>
        <w:trPr>
          <w:trHeight w:val="462" w:hRule="atLeast"/>
        </w:trPr>
        <w:tc>
          <w:tcPr>
            <w:tcW w:w="6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0"/>
                <w:szCs w:val="20"/>
              </w:rPr>
            </w:pP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机械泄压口</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XYK0.12-J-WF</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r>
        <w:tblPrEx>
          <w:tblCellMar>
            <w:top w:w="0" w:type="dxa"/>
            <w:left w:w="108" w:type="dxa"/>
            <w:bottom w:w="0" w:type="dxa"/>
            <w:right w:w="108" w:type="dxa"/>
          </w:tblCellMar>
        </w:tblPrEx>
        <w:trPr>
          <w:trHeight w:val="462" w:hRule="atLeast"/>
        </w:trPr>
        <w:tc>
          <w:tcPr>
            <w:tcW w:w="61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柜式灭火装置（单瓶）</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GQQ100/2.5WF</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r>
        <w:tblPrEx>
          <w:tblCellMar>
            <w:top w:w="0" w:type="dxa"/>
            <w:left w:w="108" w:type="dxa"/>
            <w:bottom w:w="0" w:type="dxa"/>
            <w:right w:w="108" w:type="dxa"/>
          </w:tblCellMar>
        </w:tblPrEx>
        <w:trPr>
          <w:trHeight w:val="462" w:hRule="atLeast"/>
        </w:trPr>
        <w:tc>
          <w:tcPr>
            <w:tcW w:w="6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七氟丙烷药剂</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HFC-227ea</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KG</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97</w:t>
            </w:r>
          </w:p>
        </w:tc>
      </w:tr>
      <w:tr>
        <w:tblPrEx>
          <w:tblCellMar>
            <w:top w:w="0" w:type="dxa"/>
            <w:left w:w="108" w:type="dxa"/>
            <w:bottom w:w="0" w:type="dxa"/>
            <w:right w:w="108" w:type="dxa"/>
          </w:tblCellMar>
        </w:tblPrEx>
        <w:trPr>
          <w:trHeight w:val="462" w:hRule="atLeast"/>
        </w:trPr>
        <w:tc>
          <w:tcPr>
            <w:tcW w:w="61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auto"/>
                <w:sz w:val="20"/>
                <w:szCs w:val="20"/>
              </w:rPr>
            </w:pP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机械泄压口</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XYK0.12-J-WF</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bl>
    <w:p>
      <w:pPr>
        <w:rPr>
          <w:rFonts w:ascii="微软雅黑" w:hAnsi="微软雅黑" w:eastAsia="微软雅黑"/>
          <w:color w:val="auto"/>
          <w:sz w:val="24"/>
          <w:szCs w:val="24"/>
        </w:rPr>
      </w:pPr>
    </w:p>
    <w:p>
      <w:pPr>
        <w:rPr>
          <w:rFonts w:ascii="微软雅黑" w:hAnsi="微软雅黑" w:eastAsia="微软雅黑"/>
          <w:color w:val="auto"/>
          <w:sz w:val="24"/>
          <w:szCs w:val="24"/>
        </w:rPr>
      </w:pPr>
      <w:r>
        <w:rPr>
          <w:rFonts w:hint="eastAsia" w:ascii="微软雅黑" w:hAnsi="微软雅黑" w:eastAsia="微软雅黑"/>
          <w:color w:val="auto"/>
          <w:sz w:val="24"/>
          <w:szCs w:val="24"/>
        </w:rPr>
        <w:t xml:space="preserve"> </w:t>
      </w:r>
    </w:p>
    <w:p>
      <w:pPr>
        <w:rPr>
          <w:rFonts w:ascii="微软雅黑" w:hAnsi="微软雅黑" w:eastAsia="微软雅黑"/>
          <w:color w:val="auto"/>
          <w:sz w:val="24"/>
          <w:szCs w:val="24"/>
        </w:rPr>
      </w:pPr>
      <w:r>
        <w:rPr>
          <w:rFonts w:hint="eastAsia" w:ascii="微软雅黑" w:hAnsi="微软雅黑" w:eastAsia="微软雅黑"/>
          <w:color w:val="auto"/>
          <w:sz w:val="24"/>
          <w:szCs w:val="24"/>
        </w:rPr>
        <w:t xml:space="preserve"> </w:t>
      </w:r>
    </w:p>
    <w:p>
      <w:pPr>
        <w:rPr>
          <w:rFonts w:ascii="微软雅黑" w:hAnsi="微软雅黑" w:eastAsia="微软雅黑"/>
          <w:color w:val="auto"/>
          <w:sz w:val="24"/>
          <w:szCs w:val="24"/>
        </w:rPr>
      </w:pPr>
    </w:p>
    <w:p>
      <w:pPr>
        <w:rPr>
          <w:rFonts w:ascii="微软雅黑" w:hAnsi="微软雅黑" w:eastAsia="微软雅黑"/>
          <w:color w:val="auto"/>
          <w:sz w:val="24"/>
          <w:szCs w:val="24"/>
        </w:rPr>
      </w:pPr>
    </w:p>
    <w:p>
      <w:pPr>
        <w:rPr>
          <w:rFonts w:ascii="微软雅黑" w:hAnsi="微软雅黑" w:eastAsia="微软雅黑"/>
          <w:color w:val="auto"/>
          <w:sz w:val="24"/>
          <w:szCs w:val="24"/>
        </w:rPr>
      </w:pPr>
    </w:p>
    <w:p>
      <w:pPr>
        <w:rPr>
          <w:rFonts w:ascii="微软雅黑" w:hAnsi="微软雅黑" w:eastAsia="微软雅黑"/>
          <w:color w:val="auto"/>
          <w:sz w:val="24"/>
          <w:szCs w:val="24"/>
        </w:rPr>
      </w:pPr>
    </w:p>
    <w:p>
      <w:pPr>
        <w:rPr>
          <w:rFonts w:ascii="宋体" w:hAnsi="宋体"/>
          <w:color w:val="auto"/>
          <w:sz w:val="24"/>
          <w:szCs w:val="24"/>
        </w:rPr>
      </w:pPr>
      <w:r>
        <w:rPr>
          <w:rFonts w:hint="eastAsia" w:ascii="宋体" w:hAnsi="宋体"/>
          <w:color w:val="auto"/>
          <w:sz w:val="24"/>
          <w:szCs w:val="24"/>
        </w:rPr>
        <w:t xml:space="preserve"> </w:t>
      </w:r>
    </w:p>
    <w:p>
      <w:pPr>
        <w:jc w:val="center"/>
        <w:rPr>
          <w:rFonts w:ascii="微软雅黑" w:hAnsi="微软雅黑" w:eastAsia="微软雅黑"/>
          <w:color w:val="auto"/>
          <w:sz w:val="28"/>
          <w:szCs w:val="28"/>
        </w:rPr>
      </w:pPr>
      <w:r>
        <w:rPr>
          <w:rFonts w:hint="eastAsia" w:ascii="微软雅黑" w:hAnsi="微软雅黑" w:eastAsia="微软雅黑"/>
          <w:color w:val="auto"/>
          <w:sz w:val="28"/>
          <w:szCs w:val="28"/>
        </w:rPr>
        <w:t>福建理工大学2023年信息化建设与管理中心机房气体灭火装置更换及安装项目</w:t>
      </w:r>
    </w:p>
    <w:tbl>
      <w:tblPr>
        <w:tblStyle w:val="13"/>
        <w:tblW w:w="8381" w:type="dxa"/>
        <w:tblInd w:w="-2" w:type="dxa"/>
        <w:tblLayout w:type="fixed"/>
        <w:tblCellMar>
          <w:top w:w="15" w:type="dxa"/>
          <w:left w:w="15" w:type="dxa"/>
          <w:bottom w:w="15" w:type="dxa"/>
          <w:right w:w="15" w:type="dxa"/>
        </w:tblCellMar>
      </w:tblPr>
      <w:tblGrid>
        <w:gridCol w:w="617"/>
        <w:gridCol w:w="2536"/>
        <w:gridCol w:w="1703"/>
        <w:gridCol w:w="973"/>
        <w:gridCol w:w="46"/>
        <w:gridCol w:w="2480"/>
        <w:gridCol w:w="26"/>
      </w:tblGrid>
      <w:tr>
        <w:tblPrEx>
          <w:tblCellMar>
            <w:top w:w="15" w:type="dxa"/>
            <w:left w:w="15" w:type="dxa"/>
            <w:bottom w:w="15" w:type="dxa"/>
            <w:right w:w="15" w:type="dxa"/>
          </w:tblCellMar>
        </w:tblPrEx>
        <w:trPr>
          <w:gridAfter w:val="1"/>
          <w:wAfter w:w="26" w:type="dxa"/>
          <w:trHeight w:val="624" w:hRule="atLeast"/>
        </w:trPr>
        <w:tc>
          <w:tcPr>
            <w:tcW w:w="8355"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auto"/>
                <w:sz w:val="28"/>
                <w:szCs w:val="28"/>
              </w:rPr>
            </w:pPr>
            <w:r>
              <w:rPr>
                <w:rFonts w:hint="eastAsia" w:ascii="宋体" w:hAnsi="宋体" w:cs="宋体"/>
                <w:b/>
                <w:color w:val="auto"/>
                <w:kern w:val="0"/>
                <w:sz w:val="28"/>
                <w:szCs w:val="28"/>
              </w:rPr>
              <w:t>福建理工大学消防设备清单报价明细表</w:t>
            </w:r>
          </w:p>
        </w:tc>
      </w:tr>
      <w:tr>
        <w:tblPrEx>
          <w:tblCellMar>
            <w:top w:w="15" w:type="dxa"/>
            <w:left w:w="15" w:type="dxa"/>
            <w:bottom w:w="15" w:type="dxa"/>
            <w:right w:w="15" w:type="dxa"/>
          </w:tblCellMar>
        </w:tblPrEx>
        <w:trPr>
          <w:gridAfter w:val="1"/>
          <w:wAfter w:w="26" w:type="dxa"/>
          <w:trHeight w:val="624" w:hRule="atLeast"/>
        </w:trPr>
        <w:tc>
          <w:tcPr>
            <w:tcW w:w="835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auto"/>
                <w:sz w:val="28"/>
                <w:szCs w:val="28"/>
              </w:rPr>
            </w:pPr>
          </w:p>
        </w:tc>
      </w:tr>
      <w:tr>
        <w:tblPrEx>
          <w:tblCellMar>
            <w:top w:w="15" w:type="dxa"/>
            <w:left w:w="15" w:type="dxa"/>
            <w:bottom w:w="15" w:type="dxa"/>
            <w:right w:w="15" w:type="dxa"/>
          </w:tblCellMar>
        </w:tblPrEx>
        <w:trPr>
          <w:gridAfter w:val="1"/>
          <w:wAfter w:w="26" w:type="dxa"/>
          <w:trHeight w:val="624" w:hRule="atLeast"/>
        </w:trPr>
        <w:tc>
          <w:tcPr>
            <w:tcW w:w="835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auto"/>
                <w:sz w:val="28"/>
                <w:szCs w:val="28"/>
              </w:rPr>
            </w:pPr>
          </w:p>
        </w:tc>
      </w:tr>
      <w:tr>
        <w:tblPrEx>
          <w:tblCellMar>
            <w:top w:w="15" w:type="dxa"/>
            <w:left w:w="15" w:type="dxa"/>
            <w:bottom w:w="15" w:type="dxa"/>
            <w:right w:w="15" w:type="dxa"/>
          </w:tblCellMar>
        </w:tblPrEx>
        <w:trPr>
          <w:gridAfter w:val="1"/>
          <w:wAfter w:w="26" w:type="dxa"/>
          <w:trHeight w:val="624" w:hRule="atLeast"/>
        </w:trPr>
        <w:tc>
          <w:tcPr>
            <w:tcW w:w="5875" w:type="dxa"/>
            <w:gridSpan w:val="5"/>
            <w:vMerge w:val="restart"/>
            <w:tcBorders>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color w:val="auto"/>
                <w:sz w:val="28"/>
                <w:szCs w:val="28"/>
              </w:rPr>
            </w:pPr>
            <w:r>
              <w:rPr>
                <w:rFonts w:hint="eastAsia" w:ascii="宋体" w:hAnsi="宋体" w:cs="宋体"/>
                <w:color w:val="auto"/>
                <w:kern w:val="0"/>
                <w:sz w:val="28"/>
                <w:szCs w:val="28"/>
              </w:rPr>
              <w:t>项目名称：报警电器</w:t>
            </w:r>
          </w:p>
        </w:tc>
        <w:tc>
          <w:tcPr>
            <w:tcW w:w="2480" w:type="dxa"/>
            <w:vMerge w:val="restart"/>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8"/>
                <w:szCs w:val="28"/>
              </w:rPr>
            </w:pPr>
          </w:p>
        </w:tc>
      </w:tr>
      <w:tr>
        <w:tblPrEx>
          <w:tblCellMar>
            <w:top w:w="15" w:type="dxa"/>
            <w:left w:w="15" w:type="dxa"/>
            <w:bottom w:w="15" w:type="dxa"/>
            <w:right w:w="15" w:type="dxa"/>
          </w:tblCellMar>
        </w:tblPrEx>
        <w:trPr>
          <w:gridAfter w:val="1"/>
          <w:wAfter w:w="26" w:type="dxa"/>
          <w:trHeight w:val="624" w:hRule="atLeast"/>
        </w:trPr>
        <w:tc>
          <w:tcPr>
            <w:tcW w:w="5875" w:type="dxa"/>
            <w:gridSpan w:val="5"/>
            <w:vMerge w:val="continue"/>
            <w:tcBorders>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cs="宋体"/>
                <w:color w:val="auto"/>
                <w:sz w:val="28"/>
                <w:szCs w:val="28"/>
              </w:rPr>
            </w:pPr>
          </w:p>
        </w:tc>
        <w:tc>
          <w:tcPr>
            <w:tcW w:w="24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8"/>
                <w:szCs w:val="28"/>
              </w:rPr>
            </w:pP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25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产品名称</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规格型号</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气体灭火控制器</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GST-QKP01</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感温探测器</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JTW-ZCD-G3N</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感烟探测器</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JTY-GD-G3T</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气体释放指示灯</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GST-LD-8317</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紧急启停按钮</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GST-LD-8318</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声光报警器</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GST-HX-M8503</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辅材</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11</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布线安装费</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auto"/>
                <w:sz w:val="20"/>
                <w:szCs w:val="20"/>
              </w:rPr>
            </w:pP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r>
        <w:tblPrEx>
          <w:tblCellMar>
            <w:top w:w="0" w:type="dxa"/>
            <w:left w:w="108" w:type="dxa"/>
            <w:bottom w:w="0" w:type="dxa"/>
            <w:right w:w="108" w:type="dxa"/>
          </w:tblCellMar>
        </w:tblPrEx>
        <w:trPr>
          <w:trHeight w:val="462" w:hRule="atLeast"/>
        </w:trPr>
        <w:tc>
          <w:tcPr>
            <w:tcW w:w="617"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12</w:t>
            </w:r>
          </w:p>
        </w:tc>
        <w:tc>
          <w:tcPr>
            <w:tcW w:w="2536"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调试费</w:t>
            </w:r>
          </w:p>
        </w:tc>
        <w:tc>
          <w:tcPr>
            <w:tcW w:w="1703"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auto"/>
                <w:sz w:val="20"/>
                <w:szCs w:val="20"/>
              </w:rPr>
            </w:pPr>
          </w:p>
        </w:tc>
        <w:tc>
          <w:tcPr>
            <w:tcW w:w="973"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w:t>
            </w:r>
          </w:p>
        </w:tc>
        <w:tc>
          <w:tcPr>
            <w:tcW w:w="2552"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r>
    </w:tbl>
    <w:p>
      <w:pPr>
        <w:jc w:val="center"/>
        <w:rPr>
          <w:rFonts w:ascii="宋体" w:hAnsi="宋体"/>
          <w:color w:val="auto"/>
          <w:sz w:val="24"/>
          <w:szCs w:val="24"/>
        </w:rPr>
      </w:pPr>
      <w:r>
        <w:rPr>
          <w:rFonts w:hint="eastAsia" w:ascii="宋体" w:hAnsi="宋体"/>
          <w:color w:val="auto"/>
          <w:sz w:val="24"/>
          <w:szCs w:val="24"/>
        </w:rPr>
        <w:t xml:space="preserve"> </w:t>
      </w:r>
    </w:p>
    <w:p>
      <w:pPr>
        <w:rPr>
          <w:rFonts w:ascii="宋体" w:hAnsi="宋体"/>
          <w:color w:val="auto"/>
          <w:sz w:val="24"/>
          <w:szCs w:val="24"/>
        </w:rPr>
      </w:pPr>
      <w:r>
        <w:rPr>
          <w:rFonts w:hint="eastAsia" w:ascii="宋体" w:hAnsi="宋体"/>
          <w:color w:val="auto"/>
          <w:sz w:val="24"/>
          <w:szCs w:val="24"/>
        </w:rPr>
        <w:t xml:space="preserve"> </w:t>
      </w:r>
    </w:p>
    <w:p>
      <w:pPr>
        <w:rPr>
          <w:rFonts w:ascii="宋体" w:hAnsi="宋体"/>
          <w:color w:val="auto"/>
          <w:sz w:val="24"/>
          <w:szCs w:val="24"/>
        </w:rPr>
      </w:pPr>
      <w:r>
        <w:rPr>
          <w:rFonts w:hint="eastAsia" w:ascii="宋体" w:hAnsi="宋体"/>
          <w:color w:val="auto"/>
          <w:sz w:val="24"/>
          <w:szCs w:val="24"/>
        </w:rPr>
        <w:t xml:space="preserve"> </w:t>
      </w:r>
    </w:p>
    <w:p>
      <w:pPr>
        <w:rPr>
          <w:rFonts w:ascii="宋体" w:hAnsi="宋体"/>
          <w:color w:val="auto"/>
          <w:sz w:val="24"/>
          <w:szCs w:val="24"/>
        </w:rPr>
      </w:pPr>
      <w:r>
        <w:rPr>
          <w:rFonts w:hint="eastAsia" w:ascii="宋体" w:hAnsi="宋体"/>
          <w:b/>
          <w:color w:val="auto"/>
          <w:sz w:val="24"/>
          <w:szCs w:val="24"/>
        </w:rPr>
        <w:t>该合同包</w:t>
      </w:r>
      <w:r>
        <w:rPr>
          <w:rFonts w:hint="eastAsia" w:ascii="宋体" w:hAnsi="宋体"/>
          <w:color w:val="auto"/>
          <w:sz w:val="24"/>
          <w:szCs w:val="24"/>
        </w:rPr>
        <w:t>（</w:t>
      </w:r>
      <w:r>
        <w:rPr>
          <w:rFonts w:hint="eastAsia" w:ascii="宋体" w:hAnsi="宋体"/>
          <w:b/>
          <w:color w:val="auto"/>
          <w:sz w:val="24"/>
          <w:szCs w:val="24"/>
        </w:rPr>
        <w:t>1</w:t>
      </w:r>
      <w:r>
        <w:rPr>
          <w:rFonts w:hint="eastAsia" w:ascii="宋体" w:hAnsi="宋体"/>
          <w:color w:val="auto"/>
          <w:sz w:val="24"/>
          <w:szCs w:val="24"/>
        </w:rPr>
        <w:t>）</w:t>
      </w:r>
      <w:r>
        <w:rPr>
          <w:rFonts w:hint="eastAsia" w:ascii="宋体" w:hAnsi="宋体"/>
          <w:b/>
          <w:color w:val="auto"/>
          <w:sz w:val="24"/>
          <w:szCs w:val="24"/>
        </w:rPr>
        <w:t>投标总价</w:t>
      </w:r>
      <w:r>
        <w:rPr>
          <w:rFonts w:hint="eastAsia" w:ascii="宋体" w:hAnsi="宋体"/>
          <w:color w:val="auto"/>
          <w:sz w:val="24"/>
          <w:szCs w:val="24"/>
        </w:rPr>
        <w:t>：（大写）</w:t>
      </w:r>
      <w:r>
        <w:rPr>
          <w:rFonts w:hint="eastAsia" w:ascii="宋体" w:hAnsi="宋体"/>
          <w:b/>
          <w:color w:val="auto"/>
          <w:sz w:val="24"/>
          <w:szCs w:val="24"/>
          <w:u w:val="single"/>
        </w:rPr>
        <w:t xml:space="preserve">             </w:t>
      </w:r>
      <w:r>
        <w:rPr>
          <w:rFonts w:hint="eastAsia" w:ascii="宋体" w:hAnsi="宋体"/>
          <w:color w:val="auto"/>
          <w:sz w:val="24"/>
          <w:szCs w:val="24"/>
        </w:rPr>
        <w:t>，（小写）即</w:t>
      </w:r>
      <w:r>
        <w:rPr>
          <w:rFonts w:hint="eastAsia" w:ascii="宋体" w:hAnsi="宋体"/>
          <w:b/>
          <w:color w:val="auto"/>
          <w:sz w:val="24"/>
          <w:szCs w:val="24"/>
        </w:rPr>
        <w:t>￥：</w:t>
      </w:r>
      <w:r>
        <w:rPr>
          <w:rFonts w:hint="eastAsia" w:ascii="宋体" w:hAnsi="宋体"/>
          <w:b/>
          <w:color w:val="auto"/>
          <w:sz w:val="24"/>
          <w:szCs w:val="24"/>
          <w:u w:val="single"/>
        </w:rPr>
        <w:t xml:space="preserve">       元</w:t>
      </w:r>
    </w:p>
    <w:p>
      <w:pPr>
        <w:rPr>
          <w:color w:val="auto"/>
        </w:rPr>
      </w:pPr>
    </w:p>
    <w:p>
      <w:pPr>
        <w:rPr>
          <w:color w:val="auto"/>
        </w:rPr>
      </w:pPr>
    </w:p>
    <w:p>
      <w:pPr>
        <w:rPr>
          <w:color w:val="auto"/>
        </w:rPr>
      </w:pPr>
    </w:p>
    <w:p>
      <w:pPr>
        <w:pStyle w:val="15"/>
        <w:spacing w:line="276" w:lineRule="auto"/>
        <w:rPr>
          <w:rFonts w:ascii="仿宋" w:hAnsi="仿宋" w:eastAsia="仿宋" w:cs="仿宋"/>
          <w:color w:val="auto"/>
        </w:rPr>
      </w:pPr>
      <w:r>
        <w:rPr>
          <w:rFonts w:hint="eastAsia" w:ascii="仿宋" w:hAnsi="仿宋" w:eastAsia="仿宋" w:cs="仿宋"/>
          <w:color w:val="auto"/>
        </w:rPr>
        <w:t>附件3：</w:t>
      </w:r>
    </w:p>
    <w:p>
      <w:pPr>
        <w:spacing w:line="380" w:lineRule="atLeast"/>
        <w:jc w:val="center"/>
        <w:rPr>
          <w:rFonts w:ascii="宋体" w:cs="宋体"/>
          <w:b/>
          <w:bCs/>
          <w:color w:val="auto"/>
          <w:sz w:val="36"/>
          <w:szCs w:val="36"/>
        </w:rPr>
      </w:pPr>
      <w:r>
        <w:rPr>
          <w:rFonts w:hint="eastAsia" w:ascii="宋体" w:hAnsi="宋体" w:cs="宋体"/>
          <w:b/>
          <w:bCs/>
          <w:color w:val="auto"/>
          <w:sz w:val="36"/>
          <w:szCs w:val="36"/>
        </w:rPr>
        <w:t>法定代表人授权书</w:t>
      </w:r>
    </w:p>
    <w:p>
      <w:pPr>
        <w:spacing w:line="380" w:lineRule="atLeast"/>
        <w:ind w:firstLine="2205" w:firstLineChars="1050"/>
        <w:rPr>
          <w:rFonts w:ascii="仿宋_GB2312" w:hAnsi="宋体" w:eastAsia="仿宋_GB2312" w:cs="Times New Roman"/>
          <w:color w:val="auto"/>
        </w:rPr>
      </w:pPr>
      <w:r>
        <w:rPr>
          <w:rFonts w:hint="eastAsia" w:ascii="仿宋_GB2312" w:hAnsi="宋体" w:eastAsia="仿宋_GB2312" w:cs="仿宋_GB2312"/>
          <w:color w:val="auto"/>
        </w:rPr>
        <w:t>：</w:t>
      </w:r>
    </w:p>
    <w:p>
      <w:pPr>
        <w:spacing w:line="500" w:lineRule="atLeast"/>
        <w:ind w:firstLine="420" w:firstLineChars="200"/>
        <w:rPr>
          <w:rFonts w:ascii="仿宋_GB2312" w:hAnsi="宋体" w:eastAsia="仿宋_GB2312" w:cs="Times New Roman"/>
          <w:color w:val="auto"/>
        </w:rPr>
      </w:pPr>
      <w:r>
        <w:rPr>
          <w:rFonts w:hint="eastAsia" w:ascii="仿宋_GB2312" w:hAnsi="宋体" w:eastAsia="仿宋_GB2312" w:cs="仿宋_GB2312"/>
          <w:color w:val="auto"/>
          <w:u w:val="single"/>
        </w:rPr>
        <w:t>（投标人全称）</w:t>
      </w:r>
      <w:r>
        <w:rPr>
          <w:rFonts w:hint="eastAsia" w:ascii="仿宋_GB2312" w:hAnsi="宋体" w:eastAsia="仿宋_GB2312" w:cs="仿宋_GB2312"/>
          <w:color w:val="auto"/>
        </w:rPr>
        <w:t>法定代表人</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授权</w:t>
      </w:r>
      <w:r>
        <w:rPr>
          <w:rFonts w:ascii="仿宋_GB2312" w:hAnsi="宋体" w:eastAsia="仿宋_GB2312" w:cs="仿宋_GB2312"/>
          <w:color w:val="auto"/>
          <w:u w:val="single"/>
        </w:rPr>
        <w:t xml:space="preserve">  </w:t>
      </w:r>
      <w:r>
        <w:rPr>
          <w:rFonts w:hint="eastAsia" w:ascii="仿宋_GB2312" w:hAnsi="宋体" w:eastAsia="仿宋_GB2312" w:cs="仿宋_GB2312"/>
          <w:color w:val="auto"/>
          <w:u w:val="single"/>
        </w:rPr>
        <w:t>（投标人代表姓名）</w:t>
      </w:r>
      <w:r>
        <w:rPr>
          <w:rFonts w:hint="eastAsia" w:ascii="仿宋_GB2312" w:hAnsi="宋体" w:eastAsia="仿宋_GB2312" w:cs="仿宋_GB2312"/>
          <w:color w:val="auto"/>
        </w:rPr>
        <w:t>为投标人代表，代表本公司参加贵司组织的</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项目（招标编号</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color w:val="auto"/>
        </w:rPr>
      </w:pPr>
      <w:r>
        <w:rPr>
          <w:rFonts w:hint="eastAsia" w:ascii="仿宋_GB2312" w:hAnsi="宋体" w:eastAsia="仿宋_GB2312" w:cs="仿宋_GB2312"/>
          <w:color w:val="auto"/>
        </w:rPr>
        <w:t>本授权书自出具之日起生效。</w:t>
      </w:r>
    </w:p>
    <w:p>
      <w:pPr>
        <w:spacing w:line="500" w:lineRule="atLeast"/>
        <w:rPr>
          <w:rFonts w:ascii="仿宋_GB2312" w:hAnsi="宋体" w:eastAsia="仿宋_GB2312" w:cs="Times New Roman"/>
          <w:color w:val="auto"/>
        </w:rPr>
      </w:pPr>
      <w:r>
        <w:rPr>
          <w:rFonts w:hint="eastAsia" w:ascii="仿宋_GB2312" w:hAnsi="宋体" w:eastAsia="仿宋_GB2312" w:cs="仿宋_GB2312"/>
          <w:color w:val="auto"/>
        </w:rPr>
        <w:t>投标人代表：</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hint="eastAsia" w:ascii="仿宋_GB2312" w:hAnsi="宋体" w:eastAsia="仿宋_GB2312" w:cs="仿宋_GB2312"/>
          <w:color w:val="auto"/>
        </w:rPr>
        <w:t>性别：</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身份证号：</w:t>
      </w:r>
      <w:r>
        <w:rPr>
          <w:rFonts w:ascii="仿宋_GB2312" w:hAnsi="宋体" w:eastAsia="仿宋_GB2312" w:cs="仿宋_GB2312"/>
          <w:color w:val="auto"/>
          <w:u w:val="single"/>
        </w:rPr>
        <w:t xml:space="preserve">                  </w:t>
      </w:r>
    </w:p>
    <w:p>
      <w:pPr>
        <w:spacing w:line="500" w:lineRule="atLeast"/>
        <w:rPr>
          <w:rFonts w:ascii="仿宋_GB2312" w:hAnsi="宋体" w:eastAsia="仿宋_GB2312" w:cs="Times New Roman"/>
          <w:color w:val="auto"/>
        </w:rPr>
      </w:pPr>
      <w:r>
        <w:rPr>
          <w:rFonts w:hint="eastAsia" w:ascii="仿宋_GB2312" w:hAnsi="宋体" w:eastAsia="仿宋_GB2312" w:cs="仿宋_GB2312"/>
          <w:color w:val="auto"/>
        </w:rPr>
        <w:t>单位：</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hint="eastAsia" w:ascii="仿宋_GB2312" w:hAnsi="宋体" w:eastAsia="仿宋_GB2312" w:cs="仿宋_GB2312"/>
          <w:color w:val="auto"/>
        </w:rPr>
        <w:t>部门：</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hint="eastAsia" w:ascii="仿宋_GB2312" w:hAnsi="宋体" w:eastAsia="仿宋_GB2312" w:cs="仿宋_GB2312"/>
          <w:color w:val="auto"/>
        </w:rPr>
        <w:t>职务：</w:t>
      </w:r>
      <w:r>
        <w:rPr>
          <w:rFonts w:ascii="仿宋_GB2312" w:hAnsi="宋体" w:eastAsia="仿宋_GB2312" w:cs="仿宋_GB2312"/>
          <w:color w:val="auto"/>
          <w:u w:val="single"/>
        </w:rPr>
        <w:t xml:space="preserve">                  </w:t>
      </w:r>
    </w:p>
    <w:p>
      <w:pPr>
        <w:spacing w:line="500" w:lineRule="atLeast"/>
        <w:rPr>
          <w:rFonts w:ascii="仿宋_GB2312" w:hAnsi="宋体" w:eastAsia="仿宋_GB2312" w:cs="Times New Roman"/>
          <w:color w:val="auto"/>
        </w:rPr>
      </w:pPr>
      <w:r>
        <w:rPr>
          <w:rFonts w:hint="eastAsia" w:ascii="仿宋_GB2312" w:hAnsi="宋体" w:eastAsia="仿宋_GB2312" w:cs="仿宋_GB2312"/>
          <w:color w:val="auto"/>
        </w:rPr>
        <w:t>详细通讯地址：</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ascii="仿宋_GB2312" w:hAnsi="宋体" w:eastAsia="仿宋_GB2312" w:cs="仿宋_GB2312"/>
          <w:b/>
          <w:bCs/>
          <w:color w:val="auto"/>
        </w:rPr>
        <w:t xml:space="preserve"> </w:t>
      </w:r>
      <w:r>
        <w:rPr>
          <w:rFonts w:hint="eastAsia" w:ascii="仿宋_GB2312" w:hAnsi="宋体" w:eastAsia="仿宋_GB2312" w:cs="仿宋_GB2312"/>
          <w:color w:val="auto"/>
        </w:rPr>
        <w:t>邮政编码</w:t>
      </w:r>
      <w:r>
        <w:rPr>
          <w:rFonts w:ascii="仿宋_GB2312" w:hAnsi="宋体" w:eastAsia="仿宋_GB2312" w:cs="仿宋_GB2312"/>
          <w:color w:val="auto"/>
        </w:rPr>
        <w:t>:</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hint="eastAsia" w:ascii="仿宋_GB2312" w:hAnsi="宋体" w:eastAsia="仿宋_GB2312" w:cs="仿宋_GB2312"/>
          <w:color w:val="auto"/>
        </w:rPr>
        <w:t>电话</w:t>
      </w:r>
      <w:r>
        <w:rPr>
          <w:rFonts w:ascii="仿宋_GB2312" w:hAnsi="宋体" w:eastAsia="仿宋_GB2312" w:cs="仿宋_GB2312"/>
          <w:color w:val="auto"/>
        </w:rPr>
        <w:t>/</w:t>
      </w:r>
      <w:r>
        <w:rPr>
          <w:rFonts w:hint="eastAsia" w:ascii="仿宋_GB2312" w:hAnsi="宋体" w:eastAsia="仿宋_GB2312" w:cs="仿宋_GB2312"/>
          <w:color w:val="auto"/>
        </w:rPr>
        <w:t>手机：</w:t>
      </w:r>
      <w:r>
        <w:rPr>
          <w:rFonts w:ascii="仿宋_GB2312" w:hAnsi="宋体" w:eastAsia="仿宋_GB2312" w:cs="仿宋_GB2312"/>
          <w:color w:val="auto"/>
          <w:u w:val="single"/>
        </w:rPr>
        <w:t xml:space="preserve">              </w:t>
      </w:r>
    </w:p>
    <w:p>
      <w:pPr>
        <w:spacing w:line="380" w:lineRule="exact"/>
        <w:rPr>
          <w:rFonts w:ascii="仿宋_GB2312" w:hAnsi="宋体" w:eastAsia="仿宋_GB2312" w:cs="Times New Roman"/>
          <w:color w:val="auto"/>
        </w:rPr>
      </w:pPr>
      <w:r>
        <w:rPr>
          <w:rFonts w:hint="eastAsia" w:ascii="仿宋_GB2312" w:hAnsi="宋体" w:eastAsia="仿宋_GB2312" w:cs="仿宋_GB2312"/>
          <w:color w:val="auto"/>
        </w:rPr>
        <w:t>附：授权人及被授权人身份证件复印件（须注明与原件一致，可另页附上）</w:t>
      </w:r>
    </w:p>
    <w:tbl>
      <w:tblPr>
        <w:tblStyle w:val="13"/>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color w:val="auto"/>
              </w:rPr>
            </w:pPr>
            <w:r>
              <w:rPr>
                <w:rFonts w:hint="eastAsia" w:ascii="仿宋_GB2312" w:hAnsi="宋体" w:eastAsia="仿宋_GB2312" w:cs="仿宋_GB2312"/>
                <w:color w:val="auto"/>
              </w:rPr>
              <w:t>授权人身份证件复印件</w:t>
            </w:r>
          </w:p>
          <w:tbl>
            <w:tblPr>
              <w:tblStyle w:val="13"/>
              <w:tblW w:w="3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rPr>
                  </w:pPr>
                </w:p>
                <w:p>
                  <w:pPr>
                    <w:spacing w:line="380" w:lineRule="exact"/>
                    <w:rPr>
                      <w:rFonts w:ascii="仿宋_GB2312" w:hAnsi="宋体" w:eastAsia="仿宋_GB2312" w:cs="Times New Roman"/>
                      <w:color w:val="auto"/>
                    </w:rPr>
                  </w:pPr>
                </w:p>
                <w:p>
                  <w:pPr>
                    <w:spacing w:line="380" w:lineRule="exact"/>
                    <w:jc w:val="center"/>
                    <w:rPr>
                      <w:rFonts w:ascii="仿宋_GB2312" w:hAnsi="宋体" w:eastAsia="仿宋_GB2312" w:cs="Times New Roman"/>
                      <w:color w:val="auto"/>
                    </w:rPr>
                  </w:pPr>
                </w:p>
              </w:tc>
            </w:tr>
          </w:tbl>
          <w:p>
            <w:pPr>
              <w:spacing w:line="380" w:lineRule="exact"/>
              <w:jc w:val="center"/>
              <w:rPr>
                <w:rFonts w:ascii="仿宋_GB2312" w:hAnsi="宋体" w:eastAsia="仿宋_GB2312" w:cs="Times New Roman"/>
                <w:color w:val="auto"/>
              </w:rPr>
            </w:pPr>
            <w:r>
              <w:rPr>
                <w:rFonts w:hint="eastAsia" w:ascii="仿宋_GB2312" w:hAnsi="宋体" w:eastAsia="仿宋_GB2312" w:cs="仿宋_GB2312"/>
                <w:color w:val="auto"/>
              </w:rPr>
              <w:t>正面</w:t>
            </w:r>
          </w:p>
          <w:tbl>
            <w:tblPr>
              <w:tblStyle w:val="13"/>
              <w:tblW w:w="3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rPr>
                  </w:pPr>
                </w:p>
                <w:p>
                  <w:pPr>
                    <w:spacing w:line="380" w:lineRule="exact"/>
                    <w:jc w:val="center"/>
                    <w:rPr>
                      <w:rFonts w:ascii="仿宋_GB2312" w:hAnsi="宋体" w:eastAsia="仿宋_GB2312" w:cs="Times New Roman"/>
                      <w:color w:val="auto"/>
                    </w:rPr>
                  </w:pPr>
                </w:p>
                <w:p>
                  <w:pPr>
                    <w:spacing w:line="380" w:lineRule="exact"/>
                    <w:jc w:val="center"/>
                    <w:rPr>
                      <w:rFonts w:ascii="仿宋_GB2312" w:hAnsi="宋体" w:eastAsia="仿宋_GB2312" w:cs="Times New Roman"/>
                      <w:color w:val="auto"/>
                    </w:rPr>
                  </w:pPr>
                </w:p>
              </w:tc>
            </w:tr>
          </w:tbl>
          <w:p>
            <w:pPr>
              <w:spacing w:line="380" w:lineRule="exact"/>
              <w:jc w:val="center"/>
              <w:rPr>
                <w:rFonts w:ascii="仿宋_GB2312" w:hAnsi="宋体" w:eastAsia="仿宋_GB2312" w:cs="Times New Roman"/>
                <w:color w:val="auto"/>
              </w:rPr>
            </w:pPr>
            <w:r>
              <w:rPr>
                <w:rFonts w:hint="eastAsia" w:ascii="仿宋_GB2312" w:hAnsi="宋体" w:eastAsia="仿宋_GB2312" w:cs="仿宋_GB2312"/>
                <w:color w:val="auto"/>
              </w:rPr>
              <w:t>反面</w:t>
            </w:r>
          </w:p>
        </w:tc>
        <w:tc>
          <w:tcPr>
            <w:tcW w:w="1093" w:type="dxa"/>
            <w:tcBorders>
              <w:top w:val="nil"/>
              <w:bottom w:val="nil"/>
            </w:tcBorders>
          </w:tcPr>
          <w:p>
            <w:pPr>
              <w:spacing w:line="380" w:lineRule="exact"/>
              <w:rPr>
                <w:rFonts w:ascii="仿宋_GB2312" w:hAnsi="宋体" w:eastAsia="仿宋_GB2312" w:cs="Times New Roman"/>
                <w:color w:val="auto"/>
              </w:rPr>
            </w:pPr>
          </w:p>
        </w:tc>
        <w:tc>
          <w:tcPr>
            <w:tcW w:w="4057" w:type="dxa"/>
          </w:tcPr>
          <w:p>
            <w:pPr>
              <w:spacing w:line="380" w:lineRule="exact"/>
              <w:jc w:val="center"/>
              <w:rPr>
                <w:rFonts w:ascii="仿宋_GB2312" w:hAnsi="宋体" w:eastAsia="仿宋_GB2312" w:cs="Times New Roman"/>
                <w:color w:val="auto"/>
              </w:rPr>
            </w:pPr>
            <w:r>
              <w:rPr>
                <w:rFonts w:hint="eastAsia" w:ascii="仿宋_GB2312" w:hAnsi="宋体" w:eastAsia="仿宋_GB2312" w:cs="仿宋_GB2312"/>
                <w:color w:val="auto"/>
              </w:rPr>
              <w:t>被授权人身份证件复印件</w:t>
            </w:r>
          </w:p>
          <w:tbl>
            <w:tblPr>
              <w:tblStyle w:val="13"/>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rPr>
                  </w:pPr>
                </w:p>
                <w:p>
                  <w:pPr>
                    <w:spacing w:line="380" w:lineRule="exact"/>
                    <w:rPr>
                      <w:rFonts w:ascii="仿宋_GB2312" w:hAnsi="宋体" w:eastAsia="仿宋_GB2312" w:cs="Times New Roman"/>
                      <w:color w:val="auto"/>
                    </w:rPr>
                  </w:pPr>
                </w:p>
                <w:p>
                  <w:pPr>
                    <w:spacing w:line="380" w:lineRule="exact"/>
                    <w:jc w:val="center"/>
                    <w:rPr>
                      <w:rFonts w:ascii="仿宋_GB2312" w:hAnsi="宋体" w:eastAsia="仿宋_GB2312" w:cs="Times New Roman"/>
                      <w:color w:val="auto"/>
                    </w:rPr>
                  </w:pPr>
                </w:p>
              </w:tc>
            </w:tr>
          </w:tbl>
          <w:p>
            <w:pPr>
              <w:spacing w:line="380" w:lineRule="exact"/>
              <w:jc w:val="center"/>
              <w:rPr>
                <w:rFonts w:ascii="仿宋_GB2312" w:hAnsi="宋体" w:eastAsia="仿宋_GB2312" w:cs="Times New Roman"/>
                <w:color w:val="auto"/>
              </w:rPr>
            </w:pPr>
            <w:r>
              <w:rPr>
                <w:rFonts w:hint="eastAsia" w:ascii="仿宋_GB2312" w:hAnsi="宋体" w:eastAsia="仿宋_GB2312" w:cs="仿宋_GB2312"/>
                <w:color w:val="auto"/>
              </w:rPr>
              <w:t>正面</w:t>
            </w:r>
          </w:p>
          <w:tbl>
            <w:tblPr>
              <w:tblStyle w:val="13"/>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rPr>
                  </w:pPr>
                </w:p>
                <w:p>
                  <w:pPr>
                    <w:spacing w:line="380" w:lineRule="exact"/>
                    <w:jc w:val="center"/>
                    <w:rPr>
                      <w:rFonts w:ascii="仿宋_GB2312" w:hAnsi="宋体" w:eastAsia="仿宋_GB2312" w:cs="Times New Roman"/>
                      <w:color w:val="auto"/>
                    </w:rPr>
                  </w:pPr>
                </w:p>
              </w:tc>
            </w:tr>
          </w:tbl>
          <w:p>
            <w:pPr>
              <w:spacing w:line="380" w:lineRule="exact"/>
              <w:jc w:val="center"/>
              <w:rPr>
                <w:rFonts w:ascii="仿宋_GB2312" w:hAnsi="宋体" w:eastAsia="仿宋_GB2312" w:cs="Times New Roman"/>
                <w:color w:val="auto"/>
              </w:rPr>
            </w:pPr>
            <w:r>
              <w:rPr>
                <w:rFonts w:hint="eastAsia" w:ascii="仿宋_GB2312" w:hAnsi="宋体" w:eastAsia="仿宋_GB2312" w:cs="仿宋_GB2312"/>
                <w:color w:val="auto"/>
              </w:rPr>
              <w:t>反面</w:t>
            </w:r>
          </w:p>
        </w:tc>
      </w:tr>
    </w:tbl>
    <w:p>
      <w:pPr>
        <w:rPr>
          <w:rFonts w:ascii="仿宋_GB2312" w:eastAsia="仿宋_GB2312" w:cs="Times New Roman"/>
          <w:color w:val="auto"/>
        </w:rPr>
      </w:pPr>
    </w:p>
    <w:p>
      <w:pPr>
        <w:rPr>
          <w:rFonts w:ascii="仿宋_GB2312" w:hAnsi="宋体" w:eastAsia="仿宋_GB2312" w:cs="Times New Roman"/>
          <w:color w:val="auto"/>
        </w:rPr>
      </w:pPr>
      <w:r>
        <w:rPr>
          <w:rFonts w:hint="eastAsia" w:cs="宋体"/>
          <w:color w:val="auto"/>
        </w:rPr>
        <w:t>授权方</w:t>
      </w:r>
      <w:r>
        <w:rPr>
          <w:color w:val="auto"/>
        </w:rPr>
        <w:t xml:space="preserve">                                         </w:t>
      </w:r>
      <w:r>
        <w:rPr>
          <w:rFonts w:hint="eastAsia" w:cs="宋体"/>
          <w:color w:val="auto"/>
        </w:rPr>
        <w:t>接受授权方</w:t>
      </w:r>
    </w:p>
    <w:p>
      <w:pPr>
        <w:pStyle w:val="16"/>
        <w:ind w:firstLine="0" w:firstLineChars="0"/>
        <w:rPr>
          <w:rFonts w:ascii="仿宋" w:hAnsi="仿宋" w:eastAsia="仿宋" w:cs="仿宋"/>
          <w:color w:val="auto"/>
        </w:rPr>
      </w:pPr>
      <w:r>
        <w:rPr>
          <w:rFonts w:hint="eastAsia" w:ascii="仿宋" w:hAnsi="仿宋" w:eastAsia="仿宋" w:cs="仿宋"/>
          <w:color w:val="auto"/>
        </w:rPr>
        <w:t>投标人：（全称并加盖公章）</w:t>
      </w:r>
      <w:r>
        <w:rPr>
          <w:rFonts w:ascii="仿宋" w:hAnsi="仿宋" w:eastAsia="仿宋" w:cs="仿宋"/>
          <w:color w:val="auto"/>
        </w:rPr>
        <w:t xml:space="preserve">             </w:t>
      </w:r>
    </w:p>
    <w:p>
      <w:pPr>
        <w:pStyle w:val="16"/>
        <w:ind w:firstLine="0" w:firstLineChars="0"/>
        <w:rPr>
          <w:rFonts w:ascii="仿宋_GB2312" w:hAnsi="宋体" w:eastAsia="仿宋_GB2312"/>
          <w:color w:val="auto"/>
        </w:rPr>
      </w:pPr>
      <w:r>
        <w:rPr>
          <w:rFonts w:hint="eastAsia" w:ascii="仿宋_GB2312" w:hAnsi="宋体" w:eastAsia="仿宋_GB2312" w:cs="仿宋_GB2312"/>
          <w:color w:val="auto"/>
        </w:rPr>
        <w:t>法定代表人（签名）：</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hint="eastAsia" w:ascii="仿宋_GB2312" w:hAnsi="宋体" w:eastAsia="仿宋_GB2312" w:cs="仿宋_GB2312"/>
          <w:color w:val="auto"/>
        </w:rPr>
        <w:t>投标人代表（签名）：</w:t>
      </w:r>
      <w:r>
        <w:rPr>
          <w:rFonts w:ascii="仿宋_GB2312" w:hAnsi="宋体" w:eastAsia="仿宋_GB2312" w:cs="仿宋_GB2312"/>
          <w:color w:val="auto"/>
          <w:u w:val="single"/>
        </w:rPr>
        <w:t xml:space="preserve">                   </w:t>
      </w:r>
    </w:p>
    <w:p>
      <w:pPr>
        <w:pStyle w:val="15"/>
        <w:spacing w:line="276" w:lineRule="auto"/>
        <w:rPr>
          <w:rFonts w:ascii="仿宋_GB2312" w:hAnsi="宋体" w:eastAsia="仿宋_GB2312" w:cs="仿宋_GB2312"/>
          <w:color w:val="auto"/>
          <w:u w:val="single"/>
        </w:rPr>
      </w:pPr>
      <w:r>
        <w:rPr>
          <w:rFonts w:hint="eastAsia" w:ascii="仿宋_GB2312" w:hAnsi="宋体" w:eastAsia="仿宋_GB2312" w:cs="仿宋_GB2312"/>
          <w:color w:val="auto"/>
        </w:rPr>
        <w:t>日</w:t>
      </w:r>
      <w:r>
        <w:rPr>
          <w:rFonts w:ascii="仿宋_GB2312" w:hAnsi="宋体" w:eastAsia="仿宋_GB2312" w:cs="仿宋_GB2312"/>
          <w:color w:val="auto"/>
        </w:rPr>
        <w:t xml:space="preserve">     </w:t>
      </w:r>
      <w:r>
        <w:rPr>
          <w:rFonts w:hint="eastAsia" w:ascii="仿宋_GB2312" w:hAnsi="宋体" w:eastAsia="仿宋_GB2312" w:cs="仿宋_GB2312"/>
          <w:color w:val="auto"/>
        </w:rPr>
        <w:t>期：</w:t>
      </w:r>
      <w:r>
        <w:rPr>
          <w:rFonts w:ascii="仿宋_GB2312" w:hAnsi="宋体" w:eastAsia="仿宋_GB2312" w:cs="仿宋_GB2312"/>
          <w:color w:val="auto"/>
          <w:u w:val="single"/>
        </w:rPr>
        <w:t xml:space="preserve">                          </w:t>
      </w:r>
      <w:r>
        <w:rPr>
          <w:rFonts w:ascii="仿宋_GB2312" w:hAnsi="宋体" w:eastAsia="仿宋_GB2312" w:cs="仿宋_GB2312"/>
          <w:color w:val="auto"/>
        </w:rPr>
        <w:t xml:space="preserve">          </w:t>
      </w:r>
      <w:r>
        <w:rPr>
          <w:rFonts w:hint="eastAsia" w:ascii="仿宋_GB2312" w:hAnsi="宋体" w:eastAsia="仿宋_GB2312" w:cs="仿宋_GB2312"/>
          <w:color w:val="auto"/>
        </w:rPr>
        <w:t>日</w:t>
      </w:r>
      <w:r>
        <w:rPr>
          <w:rFonts w:ascii="仿宋_GB2312" w:hAnsi="宋体" w:eastAsia="仿宋_GB2312" w:cs="仿宋_GB2312"/>
          <w:color w:val="auto"/>
        </w:rPr>
        <w:t xml:space="preserve">     </w:t>
      </w:r>
      <w:r>
        <w:rPr>
          <w:rFonts w:hint="eastAsia" w:ascii="仿宋_GB2312" w:hAnsi="宋体" w:eastAsia="仿宋_GB2312" w:cs="仿宋_GB2312"/>
          <w:color w:val="auto"/>
        </w:rPr>
        <w:t>期：</w:t>
      </w:r>
      <w:r>
        <w:rPr>
          <w:rFonts w:ascii="仿宋_GB2312" w:hAnsi="宋体" w:eastAsia="仿宋_GB2312" w:cs="仿宋_GB2312"/>
          <w:color w:val="auto"/>
          <w:u w:val="single"/>
        </w:rPr>
        <w:t xml:space="preserve">                     </w:t>
      </w:r>
    </w:p>
    <w:p>
      <w:pPr>
        <w:pStyle w:val="15"/>
        <w:spacing w:line="276" w:lineRule="auto"/>
        <w:rPr>
          <w:rFonts w:ascii="仿宋_GB2312" w:hAnsi="宋体" w:eastAsia="仿宋_GB2312" w:cs="仿宋_GB2312"/>
          <w:color w:val="auto"/>
          <w:u w:val="single"/>
        </w:rPr>
      </w:pPr>
    </w:p>
    <w:p>
      <w:pPr>
        <w:pStyle w:val="15"/>
        <w:spacing w:line="276" w:lineRule="auto"/>
        <w:rPr>
          <w:rFonts w:ascii="仿宋_GB2312" w:hAnsi="宋体" w:eastAsia="仿宋_GB2312" w:cs="仿宋_GB2312"/>
          <w:color w:val="auto"/>
          <w:u w:val="single"/>
        </w:rPr>
      </w:pPr>
    </w:p>
    <w:p>
      <w:pPr>
        <w:pStyle w:val="15"/>
        <w:spacing w:line="276" w:lineRule="auto"/>
        <w:rPr>
          <w:rFonts w:ascii="仿宋_GB2312" w:hAnsi="宋体" w:eastAsia="仿宋_GB2312" w:cs="仿宋_GB2312"/>
          <w:color w:val="auto"/>
          <w:u w:val="single"/>
        </w:rPr>
      </w:pPr>
    </w:p>
    <w:p>
      <w:pPr>
        <w:pStyle w:val="15"/>
        <w:spacing w:line="276" w:lineRule="auto"/>
        <w:rPr>
          <w:rFonts w:ascii="仿宋_GB2312" w:hAnsi="宋体" w:eastAsia="仿宋_GB2312" w:cs="仿宋_GB2312"/>
          <w:color w:val="auto"/>
          <w:u w:val="single"/>
        </w:rPr>
      </w:pP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附件4、三证合一营业执照副本复印件。</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附件5、法定代表人身份证复印件。</w:t>
      </w:r>
    </w:p>
    <w:p>
      <w:pPr>
        <w:tabs>
          <w:tab w:val="left" w:pos="900"/>
        </w:tabs>
        <w:spacing w:line="520" w:lineRule="exact"/>
        <w:ind w:left="54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附件6、投标代表身份证复印件。</w:t>
      </w:r>
    </w:p>
    <w:p>
      <w:pPr>
        <w:spacing w:line="520" w:lineRule="exact"/>
        <w:rPr>
          <w:rFonts w:ascii="宋体" w:hAnsi="宋体" w:cs="宋体"/>
          <w:color w:val="auto"/>
          <w:sz w:val="28"/>
          <w:szCs w:val="28"/>
        </w:rPr>
      </w:pPr>
    </w:p>
    <w:p>
      <w:pPr>
        <w:pStyle w:val="15"/>
        <w:spacing w:line="276" w:lineRule="auto"/>
        <w:rPr>
          <w:rFonts w:ascii="仿宋_GB2312" w:hAnsi="仿宋" w:eastAsia="仿宋_GB2312" w:cs="Times New Roman"/>
          <w:color w:val="auto"/>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809799"/>
    </w:sdtPr>
    <w:sdtContent>
      <w:p>
        <w:pPr>
          <w:pStyle w:val="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83F21"/>
    <w:multiLevelType w:val="singleLevel"/>
    <w:tmpl w:val="B1383F21"/>
    <w:lvl w:ilvl="0" w:tentative="0">
      <w:start w:val="2"/>
      <w:numFmt w:val="decimal"/>
      <w:suff w:val="nothing"/>
      <w:lvlText w:val="（%1）"/>
      <w:lvlJc w:val="left"/>
    </w:lvl>
  </w:abstractNum>
  <w:abstractNum w:abstractNumId="1">
    <w:nsid w:val="CD2589C4"/>
    <w:multiLevelType w:val="singleLevel"/>
    <w:tmpl w:val="CD2589C4"/>
    <w:lvl w:ilvl="0" w:tentative="0">
      <w:start w:val="1"/>
      <w:numFmt w:val="chineseCounting"/>
      <w:suff w:val="nothing"/>
      <w:lvlText w:val="%1、"/>
      <w:lvlJc w:val="left"/>
      <w:rPr>
        <w:rFonts w:hint="eastAsia"/>
      </w:rPr>
    </w:lvl>
  </w:abstractNum>
  <w:abstractNum w:abstractNumId="2">
    <w:nsid w:val="4A124C59"/>
    <w:multiLevelType w:val="singleLevel"/>
    <w:tmpl w:val="4A124C59"/>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Zjg2MjY5MjMwODkzMzM2MDJiMWUxNmRmY2NmNWMifQ=="/>
  </w:docVars>
  <w:rsids>
    <w:rsidRoot w:val="001A01CB"/>
    <w:rsid w:val="000370DE"/>
    <w:rsid w:val="00072669"/>
    <w:rsid w:val="00083F05"/>
    <w:rsid w:val="000A4552"/>
    <w:rsid w:val="000A585C"/>
    <w:rsid w:val="0010687E"/>
    <w:rsid w:val="00125CDD"/>
    <w:rsid w:val="00133C7C"/>
    <w:rsid w:val="0013494C"/>
    <w:rsid w:val="0016132C"/>
    <w:rsid w:val="00171AA3"/>
    <w:rsid w:val="00180728"/>
    <w:rsid w:val="00180B2D"/>
    <w:rsid w:val="001A01CB"/>
    <w:rsid w:val="001B1CA4"/>
    <w:rsid w:val="001C7B8A"/>
    <w:rsid w:val="001D2B43"/>
    <w:rsid w:val="00271262"/>
    <w:rsid w:val="0028734E"/>
    <w:rsid w:val="002B45DD"/>
    <w:rsid w:val="002C5533"/>
    <w:rsid w:val="002D5A64"/>
    <w:rsid w:val="002E0E0C"/>
    <w:rsid w:val="003179AD"/>
    <w:rsid w:val="00355D89"/>
    <w:rsid w:val="00373346"/>
    <w:rsid w:val="00377257"/>
    <w:rsid w:val="003838AD"/>
    <w:rsid w:val="003B3E61"/>
    <w:rsid w:val="003D2957"/>
    <w:rsid w:val="003E08EA"/>
    <w:rsid w:val="00405873"/>
    <w:rsid w:val="00425C73"/>
    <w:rsid w:val="004307DE"/>
    <w:rsid w:val="00456426"/>
    <w:rsid w:val="0048743C"/>
    <w:rsid w:val="00492751"/>
    <w:rsid w:val="00495D92"/>
    <w:rsid w:val="004A1186"/>
    <w:rsid w:val="004B6AFD"/>
    <w:rsid w:val="004C43CA"/>
    <w:rsid w:val="004D6D91"/>
    <w:rsid w:val="004D7C07"/>
    <w:rsid w:val="004E27A2"/>
    <w:rsid w:val="004E7148"/>
    <w:rsid w:val="0051299D"/>
    <w:rsid w:val="00593AA6"/>
    <w:rsid w:val="005B508C"/>
    <w:rsid w:val="005C2EBF"/>
    <w:rsid w:val="00604321"/>
    <w:rsid w:val="00610820"/>
    <w:rsid w:val="00660E24"/>
    <w:rsid w:val="00662E2C"/>
    <w:rsid w:val="006812CA"/>
    <w:rsid w:val="006F6C29"/>
    <w:rsid w:val="00745095"/>
    <w:rsid w:val="00746960"/>
    <w:rsid w:val="007740E3"/>
    <w:rsid w:val="007A5BAA"/>
    <w:rsid w:val="007B2F2E"/>
    <w:rsid w:val="007F677C"/>
    <w:rsid w:val="00823A63"/>
    <w:rsid w:val="00826224"/>
    <w:rsid w:val="00843573"/>
    <w:rsid w:val="00852961"/>
    <w:rsid w:val="00896FEF"/>
    <w:rsid w:val="008B70DC"/>
    <w:rsid w:val="008B771A"/>
    <w:rsid w:val="008D1634"/>
    <w:rsid w:val="008D49F6"/>
    <w:rsid w:val="009319AB"/>
    <w:rsid w:val="00941CB2"/>
    <w:rsid w:val="009504C0"/>
    <w:rsid w:val="00951F1B"/>
    <w:rsid w:val="00964112"/>
    <w:rsid w:val="00991F44"/>
    <w:rsid w:val="009A3842"/>
    <w:rsid w:val="009B54E0"/>
    <w:rsid w:val="009C1429"/>
    <w:rsid w:val="00A02B03"/>
    <w:rsid w:val="00A265B4"/>
    <w:rsid w:val="00A478BC"/>
    <w:rsid w:val="00A81B34"/>
    <w:rsid w:val="00A8352D"/>
    <w:rsid w:val="00AD3416"/>
    <w:rsid w:val="00B10436"/>
    <w:rsid w:val="00B120B4"/>
    <w:rsid w:val="00B446F0"/>
    <w:rsid w:val="00B44BC7"/>
    <w:rsid w:val="00B46159"/>
    <w:rsid w:val="00B901B4"/>
    <w:rsid w:val="00BC57FA"/>
    <w:rsid w:val="00BE2FA1"/>
    <w:rsid w:val="00C13835"/>
    <w:rsid w:val="00C54E36"/>
    <w:rsid w:val="00CF4231"/>
    <w:rsid w:val="00CF5E9C"/>
    <w:rsid w:val="00D0736D"/>
    <w:rsid w:val="00D210E7"/>
    <w:rsid w:val="00D510AF"/>
    <w:rsid w:val="00D66B2A"/>
    <w:rsid w:val="00D87B5C"/>
    <w:rsid w:val="00DA060A"/>
    <w:rsid w:val="00DE56FC"/>
    <w:rsid w:val="00DF6BC0"/>
    <w:rsid w:val="00E32E59"/>
    <w:rsid w:val="00EC3102"/>
    <w:rsid w:val="00ED1D95"/>
    <w:rsid w:val="00EE2E70"/>
    <w:rsid w:val="00F0163C"/>
    <w:rsid w:val="00F21390"/>
    <w:rsid w:val="00F5479D"/>
    <w:rsid w:val="00F77ED0"/>
    <w:rsid w:val="00F80DBB"/>
    <w:rsid w:val="00F922D7"/>
    <w:rsid w:val="03FB6446"/>
    <w:rsid w:val="05475425"/>
    <w:rsid w:val="26B2111E"/>
    <w:rsid w:val="275818D8"/>
    <w:rsid w:val="43400A48"/>
    <w:rsid w:val="465B7FD7"/>
    <w:rsid w:val="47F81356"/>
    <w:rsid w:val="4CAD34F8"/>
    <w:rsid w:val="5E441BFA"/>
    <w:rsid w:val="622F2B3A"/>
    <w:rsid w:val="69EB7291"/>
    <w:rsid w:val="72461C3E"/>
    <w:rsid w:val="7640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8"/>
    <w:basedOn w:val="1"/>
    <w:next w:val="1"/>
    <w:link w:val="28"/>
    <w:qFormat/>
    <w:uiPriority w:val="0"/>
    <w:pPr>
      <w:keepNext/>
      <w:keepLines/>
      <w:numPr>
        <w:ilvl w:val="7"/>
        <w:numId w:val="1"/>
      </w:numPr>
      <w:tabs>
        <w:tab w:val="left" w:pos="1800"/>
      </w:tabs>
      <w:spacing w:before="240" w:after="64" w:line="320" w:lineRule="auto"/>
      <w:outlineLvl w:val="7"/>
    </w:pPr>
    <w:rPr>
      <w:rFonts w:ascii="Arial" w:hAnsi="Arial" w:eastAsia="黑体" w:cs="Times New Roman"/>
      <w:sz w:val="24"/>
      <w:szCs w:val="2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0"/>
    <w:qFormat/>
    <w:uiPriority w:val="0"/>
    <w:pPr>
      <w:spacing w:after="0" w:line="420" w:lineRule="exact"/>
      <w:ind w:left="0" w:leftChars="0" w:firstLine="420" w:firstLineChars="200"/>
    </w:pPr>
    <w:rPr>
      <w:rFonts w:ascii="仿宋_GB2312" w:hAnsi="宋体" w:eastAsia="仿宋_GB2312"/>
      <w:sz w:val="24"/>
      <w:szCs w:val="28"/>
    </w:rPr>
  </w:style>
  <w:style w:type="paragraph" w:styleId="3">
    <w:name w:val="Body Text Indent"/>
    <w:basedOn w:val="1"/>
    <w:link w:val="19"/>
    <w:semiHidden/>
    <w:unhideWhenUsed/>
    <w:qFormat/>
    <w:uiPriority w:val="99"/>
    <w:pPr>
      <w:spacing w:after="120"/>
      <w:ind w:left="420" w:leftChars="200"/>
    </w:pPr>
  </w:style>
  <w:style w:type="paragraph" w:styleId="5">
    <w:name w:val="Normal Indent"/>
    <w:basedOn w:val="1"/>
    <w:link w:val="29"/>
    <w:qFormat/>
    <w:uiPriority w:val="0"/>
    <w:pPr>
      <w:ind w:firstLine="420"/>
    </w:pPr>
    <w:rPr>
      <w:szCs w:val="20"/>
    </w:rPr>
  </w:style>
  <w:style w:type="paragraph" w:styleId="6">
    <w:name w:val="Body Text"/>
    <w:basedOn w:val="1"/>
    <w:link w:val="26"/>
    <w:semiHidden/>
    <w:unhideWhenUsed/>
    <w:qFormat/>
    <w:uiPriority w:val="99"/>
    <w:pPr>
      <w:spacing w:after="120"/>
    </w:pPr>
  </w:style>
  <w:style w:type="paragraph" w:styleId="7">
    <w:name w:val="Plain Text"/>
    <w:basedOn w:val="1"/>
    <w:link w:val="30"/>
    <w:uiPriority w:val="0"/>
    <w:rPr>
      <w:rFonts w:ascii="宋体" w:hAnsi="Courier New" w:cs="Times New Roman"/>
      <w:szCs w:val="24"/>
    </w:rPr>
  </w:style>
  <w:style w:type="paragraph" w:styleId="8">
    <w:name w:val="Balloon Text"/>
    <w:basedOn w:val="1"/>
    <w:link w:val="24"/>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Body Text First Indent"/>
    <w:basedOn w:val="6"/>
    <w:link w:val="27"/>
    <w:semiHidden/>
    <w:unhideWhenUsed/>
    <w:qFormat/>
    <w:uiPriority w:val="99"/>
    <w:pPr>
      <w:ind w:firstLine="420" w:firstLineChars="100"/>
    </w:pPr>
  </w:style>
  <w:style w:type="paragraph" w:styleId="15">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16">
    <w:name w:val="标准"/>
    <w:basedOn w:val="1"/>
    <w:qFormat/>
    <w:uiPriority w:val="0"/>
    <w:pPr>
      <w:spacing w:line="360" w:lineRule="auto"/>
      <w:ind w:firstLine="200" w:firstLineChars="200"/>
    </w:pPr>
    <w:rPr>
      <w:rFonts w:ascii="Times New Roman" w:hAnsi="Times New Roman" w:cs="Times New Roman"/>
    </w:rPr>
  </w:style>
  <w:style w:type="character" w:customStyle="1" w:styleId="17">
    <w:name w:val="页脚 Char"/>
    <w:basedOn w:val="14"/>
    <w:link w:val="9"/>
    <w:qFormat/>
    <w:uiPriority w:val="99"/>
    <w:rPr>
      <w:rFonts w:ascii="Calibri" w:hAnsi="Calibri" w:eastAsia="宋体" w:cs="Calibri"/>
      <w:sz w:val="18"/>
      <w:szCs w:val="18"/>
    </w:rPr>
  </w:style>
  <w:style w:type="character" w:customStyle="1" w:styleId="18">
    <w:name w:val="bulletintext1"/>
    <w:qFormat/>
    <w:uiPriority w:val="0"/>
    <w:rPr>
      <w:color w:val="000000"/>
      <w:sz w:val="19"/>
      <w:szCs w:val="19"/>
    </w:rPr>
  </w:style>
  <w:style w:type="character" w:customStyle="1" w:styleId="19">
    <w:name w:val="正文文本缩进 Char"/>
    <w:basedOn w:val="14"/>
    <w:link w:val="3"/>
    <w:semiHidden/>
    <w:qFormat/>
    <w:uiPriority w:val="99"/>
    <w:rPr>
      <w:rFonts w:ascii="Calibri" w:hAnsi="Calibri" w:eastAsia="宋体" w:cs="Calibri"/>
      <w:szCs w:val="21"/>
    </w:rPr>
  </w:style>
  <w:style w:type="character" w:customStyle="1" w:styleId="20">
    <w:name w:val="正文首行缩进 2 Char"/>
    <w:basedOn w:val="19"/>
    <w:link w:val="2"/>
    <w:qFormat/>
    <w:uiPriority w:val="0"/>
    <w:rPr>
      <w:rFonts w:ascii="仿宋_GB2312" w:hAnsi="宋体" w:eastAsia="仿宋_GB2312" w:cs="Calibri"/>
      <w:sz w:val="24"/>
      <w:szCs w:val="28"/>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2">
    <w:name w:val="List Paragraph1"/>
    <w:basedOn w:val="1"/>
    <w:qFormat/>
    <w:uiPriority w:val="0"/>
    <w:pPr>
      <w:ind w:firstLine="420" w:firstLineChars="200"/>
    </w:pPr>
  </w:style>
  <w:style w:type="character" w:customStyle="1" w:styleId="23">
    <w:name w:val="页眉 Char"/>
    <w:basedOn w:val="14"/>
    <w:link w:val="10"/>
    <w:qFormat/>
    <w:uiPriority w:val="99"/>
    <w:rPr>
      <w:rFonts w:ascii="Calibri" w:hAnsi="Calibri" w:eastAsia="宋体" w:cs="Calibri"/>
      <w:sz w:val="18"/>
      <w:szCs w:val="18"/>
    </w:rPr>
  </w:style>
  <w:style w:type="character" w:customStyle="1" w:styleId="24">
    <w:name w:val="批注框文本 Char"/>
    <w:basedOn w:val="14"/>
    <w:link w:val="8"/>
    <w:semiHidden/>
    <w:qFormat/>
    <w:uiPriority w:val="99"/>
    <w:rPr>
      <w:rFonts w:ascii="Calibri" w:hAnsi="Calibri" w:cs="Calibri"/>
      <w:kern w:val="2"/>
      <w:sz w:val="18"/>
      <w:szCs w:val="18"/>
    </w:rPr>
  </w:style>
  <w:style w:type="paragraph" w:styleId="25">
    <w:name w:val="List Paragraph"/>
    <w:basedOn w:val="1"/>
    <w:qFormat/>
    <w:uiPriority w:val="34"/>
    <w:pPr>
      <w:ind w:firstLine="420" w:firstLineChars="200"/>
    </w:pPr>
  </w:style>
  <w:style w:type="character" w:customStyle="1" w:styleId="26">
    <w:name w:val="正文文本 Char"/>
    <w:basedOn w:val="14"/>
    <w:link w:val="6"/>
    <w:semiHidden/>
    <w:qFormat/>
    <w:uiPriority w:val="99"/>
    <w:rPr>
      <w:rFonts w:ascii="Calibri" w:hAnsi="Calibri" w:cs="Calibri"/>
      <w:kern w:val="2"/>
      <w:sz w:val="21"/>
      <w:szCs w:val="21"/>
    </w:rPr>
  </w:style>
  <w:style w:type="character" w:customStyle="1" w:styleId="27">
    <w:name w:val="正文首行缩进 Char"/>
    <w:basedOn w:val="26"/>
    <w:link w:val="12"/>
    <w:semiHidden/>
    <w:qFormat/>
    <w:uiPriority w:val="99"/>
  </w:style>
  <w:style w:type="character" w:customStyle="1" w:styleId="28">
    <w:name w:val="标题 8 Char"/>
    <w:basedOn w:val="14"/>
    <w:link w:val="4"/>
    <w:uiPriority w:val="0"/>
    <w:rPr>
      <w:rFonts w:ascii="Arial" w:hAnsi="Arial" w:eastAsia="黑体"/>
      <w:kern w:val="2"/>
      <w:sz w:val="24"/>
      <w:szCs w:val="24"/>
    </w:rPr>
  </w:style>
  <w:style w:type="character" w:customStyle="1" w:styleId="29">
    <w:name w:val="正文缩进 Char"/>
    <w:link w:val="5"/>
    <w:uiPriority w:val="0"/>
    <w:rPr>
      <w:rFonts w:ascii="Calibri" w:hAnsi="Calibri" w:cs="Calibri"/>
      <w:kern w:val="2"/>
      <w:sz w:val="21"/>
    </w:rPr>
  </w:style>
  <w:style w:type="character" w:customStyle="1" w:styleId="30">
    <w:name w:val="纯文本 Char"/>
    <w:basedOn w:val="14"/>
    <w:link w:val="7"/>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D6AB-D0A2-4079-9EF1-0DE96CBE05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5673</Words>
  <Characters>6279</Characters>
  <Lines>56</Lines>
  <Paragraphs>16</Paragraphs>
  <TotalTime>53</TotalTime>
  <ScaleCrop>false</ScaleCrop>
  <LinksUpToDate>false</LinksUpToDate>
  <CharactersWithSpaces>7294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2023-05-14T04:15:00Z</dcterms:created>
  <dc:creator>何小强(19631088)</dc:creator>
  <cp:lastModifiedBy>WPS_1683890637</cp:lastModifiedBy>
  <cp:lastPrinted>2022-09-01T03:15:00Z</cp:lastPrinted>
  <dcterms:modified xsi:type="dcterms:W3CDTF">2023-08-01T02:34:09Z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24D902EB9D6C4189B0EE01577D815868_13</vt:lpwstr>
  </property>
</Properties>
</file>